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5"/>
        <w:rPr>
          <w:lang w:eastAsia="ru-RU"/>
        </w:rPr>
      </w:pPr>
      <w:bookmarkStart w:id="0" w:name="_GoBack"/>
      <w:bookmarkEnd w:id="0"/>
    </w:p>
    <w:p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40"/>
          <w:szCs w:val="40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40"/>
          <w:szCs w:val="40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40"/>
          <w:szCs w:val="40"/>
          <w:lang w:eastAsia="ru-RU"/>
        </w:rPr>
      </w:pPr>
      <w:r>
        <w:rPr>
          <w:rFonts w:ascii="Times New Roman" w:hAnsi="Times New Roman"/>
          <w:sz w:val="40"/>
          <w:szCs w:val="40"/>
          <w:lang w:eastAsia="ru-RU"/>
        </w:rPr>
        <w:t>ПРИМЕР ОЦЕНОЧНОГО СРЕДСТВА</w:t>
      </w:r>
    </w:p>
    <w:p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для оценки квалификации</w:t>
      </w:r>
    </w:p>
    <w:p>
      <w:pPr>
        <w:widowControl w:val="0"/>
        <w:autoSpaceDE w:val="0"/>
        <w:autoSpaceDN w:val="0"/>
        <w:spacing w:after="0" w:line="240" w:lineRule="auto"/>
        <w:jc w:val="center"/>
        <w:rPr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fldChar w:fldCharType="begin"/>
      </w:r>
      <w:r>
        <w:rPr>
          <w:rFonts w:ascii="Times New Roman" w:hAnsi="Times New Roman"/>
          <w:sz w:val="28"/>
          <w:szCs w:val="28"/>
          <w:u w:val="single"/>
          <w:lang w:eastAsia="ru-RU"/>
        </w:rPr>
        <w:instrText xml:space="preserve">HYPERLINK "C:\\Users\\User\\pk\\27874.php"</w:instrText>
      </w:r>
      <w:r>
        <w:rPr>
          <w:rFonts w:ascii="Times New Roman" w:hAnsi="Times New Roman"/>
          <w:sz w:val="28"/>
          <w:szCs w:val="28"/>
          <w:u w:val="single"/>
          <w:lang w:eastAsia="ru-RU"/>
        </w:rPr>
        <w:fldChar w:fldCharType="separate"/>
      </w:r>
    </w:p>
    <w:p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fldChar w:fldCharType="end"/>
      </w: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Руководитель проекта сооружения объектов использования атомной энергии (7 уровень квалификации)</w:t>
      </w:r>
    </w:p>
    <w:p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(наименование квалификации)</w:t>
      </w:r>
    </w:p>
    <w:p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  <w:r>
        <w:rPr>
          <w:rFonts w:ascii="Times New Roman" w:hAnsi="Times New Roman"/>
          <w:b/>
          <w:sz w:val="28"/>
          <w:szCs w:val="28"/>
          <w:lang w:eastAsia="ru-RU"/>
        </w:rPr>
        <w:t>Состав примера оценочных средств</w:t>
      </w:r>
    </w:p>
    <w:p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4"/>
        <w:gridCol w:w="1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4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301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страница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4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Наименование квалификации и уровень квалификации</w:t>
            </w:r>
          </w:p>
        </w:tc>
        <w:tc>
          <w:tcPr>
            <w:tcW w:w="1301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4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Номер квалификации</w:t>
            </w:r>
          </w:p>
        </w:tc>
        <w:tc>
          <w:tcPr>
            <w:tcW w:w="1301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4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 Профессиональный стандарт или квалификационные требования, установленные федеральными законами и иными нормативными правовыми актами Российской Федерации</w:t>
            </w:r>
          </w:p>
        </w:tc>
        <w:tc>
          <w:tcPr>
            <w:tcW w:w="1301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4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 Вид профессиональной деятельности</w:t>
            </w:r>
          </w:p>
        </w:tc>
        <w:tc>
          <w:tcPr>
            <w:tcW w:w="1301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4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5. Спецификация заданий для теоретического этапа профессионального экзамена</w:t>
            </w:r>
          </w:p>
        </w:tc>
        <w:tc>
          <w:tcPr>
            <w:tcW w:w="1301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4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6. Спецификация заданий для практического этапа профессионального экзамена</w:t>
            </w:r>
          </w:p>
        </w:tc>
        <w:tc>
          <w:tcPr>
            <w:tcW w:w="1301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4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7. Материально-техническое обеспечение оценочных мероприятий</w:t>
            </w:r>
          </w:p>
        </w:tc>
        <w:tc>
          <w:tcPr>
            <w:tcW w:w="1301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4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8. Кадровое обеспечение оценочных мероприятий</w:t>
            </w:r>
          </w:p>
        </w:tc>
        <w:tc>
          <w:tcPr>
            <w:tcW w:w="1301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4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9. Требования безопасности к проведению оценочных мероприятий (при необходимости)</w:t>
            </w:r>
          </w:p>
        </w:tc>
        <w:tc>
          <w:tcPr>
            <w:tcW w:w="1301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4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 Задания для теоретического этапа профессионального экзамена</w:t>
            </w:r>
          </w:p>
        </w:tc>
        <w:tc>
          <w:tcPr>
            <w:tcW w:w="1301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4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11. Критерии оценки (ключи к заданиям), правила обработки результатов теоретического этапа профессионального экзамена и принятия решения о допуске (отказе в допуске) к практическому этапу профессионального экзамена</w:t>
            </w:r>
          </w:p>
        </w:tc>
        <w:tc>
          <w:tcPr>
            <w:tcW w:w="1301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4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12. Задания для практического этапа профессионального экзамена</w:t>
            </w:r>
          </w:p>
        </w:tc>
        <w:tc>
          <w:tcPr>
            <w:tcW w:w="1301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4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13. Правила обработки результатов профессионального экзамена и принятия решения о соответствии квалификации соискателя требованиям к квалификации</w:t>
            </w:r>
          </w:p>
        </w:tc>
        <w:tc>
          <w:tcPr>
            <w:tcW w:w="1301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4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 Перечень нормативных правовых и иных документов, использованных при подготовке комплекта оценочных средств (при наличии)</w:t>
            </w:r>
          </w:p>
        </w:tc>
        <w:tc>
          <w:tcPr>
            <w:tcW w:w="1301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</w:p>
        </w:tc>
      </w:tr>
    </w:tbl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  <w:sectPr>
          <w:footerReference r:id="rId5" w:type="default"/>
          <w:type w:val="continuous"/>
          <w:pgSz w:w="11906" w:h="16838"/>
          <w:pgMar w:top="1134" w:right="850" w:bottom="993" w:left="1701" w:header="708" w:footer="708" w:gutter="0"/>
          <w:cols w:space="708" w:num="1"/>
          <w:docGrid w:linePitch="360" w:charSpace="0"/>
        </w:sectPr>
      </w:pP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1. Наименование квалификации и уровень квалификации: 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«Руководитель проекта сооружения объектов использования атомной энергии» (7 уровень квалификации)</w:t>
      </w:r>
      <w:r>
        <w:rPr>
          <w:rFonts w:ascii="Times New Roman" w:hAnsi="Times New Roman"/>
          <w:sz w:val="28"/>
          <w:szCs w:val="28"/>
          <w:lang w:eastAsia="ru-RU"/>
        </w:rPr>
        <w:fldChar w:fldCharType="begin"/>
      </w:r>
      <w:r>
        <w:rPr>
          <w:rFonts w:ascii="Times New Roman" w:hAnsi="Times New Roman"/>
          <w:sz w:val="28"/>
          <w:szCs w:val="28"/>
          <w:lang w:eastAsia="ru-RU"/>
        </w:rPr>
        <w:instrText xml:space="preserve">HYPERLINK "C:\\Users\\User\\pk\\27874.php"</w:instrText>
      </w:r>
      <w:r>
        <w:rPr>
          <w:rFonts w:ascii="Times New Roman" w:hAnsi="Times New Roman"/>
          <w:sz w:val="28"/>
          <w:szCs w:val="28"/>
          <w:lang w:eastAsia="ru-RU"/>
        </w:rPr>
        <w:fldChar w:fldCharType="separate"/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/>
          <w:sz w:val="20"/>
          <w:szCs w:val="20"/>
          <w:lang w:eastAsia="ru-RU"/>
        </w:rPr>
        <w:t>(указываются в соответствии с профессиональным стандартом или квалификационными требованиями, установленными федеральными законами и иными нормативными правовыми актами Российской Федерации)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2. Номер квалификации</w:t>
      </w:r>
      <w:r>
        <w:rPr>
          <w:rFonts w:ascii="Times New Roman" w:hAnsi="Times New Roman"/>
          <w:sz w:val="28"/>
          <w:szCs w:val="28"/>
          <w:lang w:eastAsia="ru-RU"/>
        </w:rPr>
        <w:t>: …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0"/>
          <w:szCs w:val="20"/>
          <w:lang w:eastAsia="ru-RU"/>
        </w:rPr>
        <w:t>(номер квалификации в реестре сведений о проведении независимой оценки квалификации)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3. Профессиональный стандарт или квалификационные требования, установленные федеральными законами и иными нормативными правовыми актами Российской Федерации (далее - требования к квалификации):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«Специалист по управлению проектом сооружения объектов использования атомной энергии»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Код профессионального стандарта 20.094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Регистрационный номер: 1276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Дата приказа: 06.05.2019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Номер приказа: 310н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СПК: Совет по профессиональным квалификациям в сфере атомной энергии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(наименование и код профессионального стандарта либо наименование и реквизиты документов, устанавливающих квалификационные требования)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4. Вид профессиональной деятельности: </w:t>
      </w:r>
    </w:p>
    <w:p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«Управление проектами по сооружению объектов использования атомной энергии»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(по реестру профессиональных стандартов)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  <w:r>
        <w:rPr>
          <w:rFonts w:ascii="Times New Roman" w:hAnsi="Times New Roman"/>
          <w:b/>
          <w:sz w:val="28"/>
          <w:szCs w:val="28"/>
          <w:lang w:eastAsia="ru-RU"/>
        </w:rPr>
        <w:t>5. Спецификация заданий для теоретического этапа профессионального экзамена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Style w:val="6"/>
        <w:tblW w:w="95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6"/>
        <w:gridCol w:w="2798"/>
        <w:gridCol w:w="3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Знания, умения,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279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Критерии оценки квалификации</w:t>
            </w:r>
          </w:p>
        </w:tc>
        <w:tc>
          <w:tcPr>
            <w:tcW w:w="33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№ задания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34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9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3" w:hRule="atLeast"/>
        </w:trPr>
        <w:tc>
          <w:tcPr>
            <w:tcW w:w="3406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D/01.7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концепции проекта сооружения ОИАЭ</w:t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ТФ D/02.7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паспорта проекта сооружения ОИАЭ</w:t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ТФ D/03.7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исходных данных для проектирования сооружения ОИАЭ, инженерных изысканий, экологических исследований и лицензирования</w:t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ТФ D/04.7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договора (контракта), определение сроков проведения конкурсов (тендеров) и сроков заключения договора (контракта) на сооружение ОИАЭ</w:t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ТФ Е/01.7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закрытия договоров (контрактов) по исполнению работ и поставкам ресурсов по проекту сооружения ОИАЭ</w:t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ТФ Е/02.7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 представление финального отчёта по реализации проекта сооружения ОИАЭ</w:t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ТФ Е/03.7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результатов участия в конкурсах и тендерах по проектам сооружения ОИАЭ</w:t>
            </w:r>
          </w:p>
        </w:tc>
        <w:tc>
          <w:tcPr>
            <w:tcW w:w="2798" w:type="dxa"/>
            <w:shd w:val="clear" w:color="auto" w:fill="auto"/>
          </w:tcPr>
          <w:p>
            <w:pPr>
              <w:spacing w:after="0" w:line="240" w:lineRule="auto"/>
              <w:ind w:right="-32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Блок 1 – 1 балл</w:t>
            </w:r>
          </w:p>
          <w:p>
            <w:pPr>
              <w:spacing w:after="0" w:line="240" w:lineRule="auto"/>
              <w:ind w:right="-32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26" w:type="dxa"/>
            <w:shd w:val="clear" w:color="auto" w:fill="auto"/>
          </w:tcPr>
          <w:p>
            <w:pPr>
              <w:spacing w:after="0" w:line="240" w:lineRule="auto"/>
              <w:ind w:right="317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Задания с выбором ответа: 1-40</w:t>
            </w:r>
          </w:p>
          <w:p>
            <w:pPr>
              <w:spacing w:after="0" w:line="240" w:lineRule="auto"/>
              <w:ind w:right="317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9530" w:type="dxa"/>
            <w:gridSpan w:val="3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Теоретический этап экзамена включает 40 заданий, охватывающих в равной доле все предметы оценивания, и считается сданным при правильном выполнении 75% заданий</w:t>
            </w:r>
          </w:p>
        </w:tc>
      </w:tr>
    </w:tbl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Общая информация по структуре заданий для теоретического этапа профессионального экзамена: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количество заданий с выбором ответа, блок 1 – 40 шт.; 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время выполнения заданий для теоретического этапа экзамена: 1 часа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6. Спецификация заданий для практического этапа профессионального экзамена</w:t>
      </w:r>
    </w:p>
    <w:tbl>
      <w:tblPr>
        <w:tblStyle w:val="6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5"/>
        <w:gridCol w:w="2910"/>
        <w:gridCol w:w="24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105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0"/>
                <w:lang w:eastAsia="ru-RU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2910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2449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0"/>
                <w:lang w:eastAsia="ru-RU"/>
              </w:rPr>
              <w:t>Тип и № задания</w:t>
            </w:r>
            <w:r>
              <w:rPr>
                <w:rStyle w:val="7"/>
                <w:rFonts w:ascii="Times New Roman" w:hAnsi="Times New Roman"/>
                <w:sz w:val="28"/>
                <w:szCs w:val="20"/>
                <w:lang w:eastAsia="ru-RU"/>
              </w:rPr>
              <w:footnoteReference w:id="0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5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ТФ D/01.7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концепции проекта сооружения ОИАЭ</w:t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ТФ D/02.7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паспорта проекта сооружения ОИАЭ</w:t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ТФ D/03.7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исходных данных для проектирования сооружения ОИАЭ, инженерных изысканий, экологических исследований и лицензирования</w:t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ТФ D/04.7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договора (контракта), определение сроков проведения конкурсов (тендеров) и сроков заключения договора (контракта) на сооружение ОИАЭ</w:t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ТФ Е/01.7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закрытия договоров (контрактов) по исполнению работ и поставкам ресурсов по проекту сооружения ОИАЭ</w:t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ТФ Е/02.7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 представление финального отчёта по реализации проекта сооружения ОИАЭ</w:t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ТФ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Е/03.7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результатов участия в конкурсах и тендерах по проектам сооружения ОИАЭ</w:t>
            </w:r>
          </w:p>
        </w:tc>
        <w:tc>
          <w:tcPr>
            <w:tcW w:w="291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Умения формировать условия для успешной реализации и завершения проекта сооружения ОИАЭ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9" w:type="dxa"/>
          </w:tcPr>
          <w:p>
            <w:pPr>
              <w:pStyle w:val="2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Задания по составлению плана реализации проекта строительства ОИАЭ и выявлению ошибок.</w:t>
            </w: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4" w:type="dxa"/>
            <w:gridSpan w:val="3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Положительное решение о соответствии квалификации соискателя положениям профессионального стандарта в части трудовых функций принимается при условии соответствия выполненного задания одновременно всем критериям оценки</w:t>
            </w:r>
          </w:p>
        </w:tc>
      </w:tr>
    </w:tbl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7. Материально-техническое обеспечение оценочных мероприятий: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а) материально-технические ресурсы для обеспечения теоретического этапа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профессионального экзамена: 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помещение, инвентарь, компьютерная техника и оргтехника, калькулятор, канцелярские принадлежности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(помещение, инвентарь, компьютерная техника и оргтехника, программное обеспечение, канцелярские принадлежности и другие)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б) материально-технические ресурсы для обеспечения практического этапа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профессионального экзамена: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помещение, инвентарь, компьютерная техника и оргтехника, калькулятор, канцелярские принадлежности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(оборудование, инструмент, оснастка, материалы, средства индивидуальной защиты, экзаменационные образцы и другие)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8. Кадровое обеспечение оценочных мероприятий (требования к экспертам):</w:t>
      </w:r>
    </w:p>
    <w:p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Высшее образование не ниже уровня магистратуры или специалитета. </w:t>
      </w:r>
    </w:p>
    <w:p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 работы: не менее 3 лет выполнения работ по организации исполнения проекта сооружения ОИАЭ.</w:t>
      </w:r>
    </w:p>
    <w:p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прохождение обучения по ДПП, обеспечивающим освоение:</w:t>
      </w:r>
    </w:p>
    <w:p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знаний: </w:t>
      </w:r>
    </w:p>
    <w:p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нормативные правовые акты в области независимой оценки квалификации и особенности их применения при проведении профессионального экзамена; </w:t>
      </w:r>
    </w:p>
    <w:p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нормативные правовые акты, регулирующие вид профессиональной деятельности и проверяемую квалификацию; </w:t>
      </w:r>
    </w:p>
    <w:p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методы оценки квалификации, определенные утвержденным Советом оценочным средством (оценочными средствами); </w:t>
      </w:r>
    </w:p>
    <w:p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работы с персональными данными и информацией ограниченного использования (доступа); </w:t>
      </w:r>
    </w:p>
    <w:p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умений </w:t>
      </w:r>
    </w:p>
    <w:p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применять оценочные средства; </w:t>
      </w:r>
    </w:p>
    <w:p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проводить наблюдение за ходом профессионального экзамена; </w:t>
      </w:r>
    </w:p>
    <w:p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формулировать, обосновывать и документировать результаты профессионального экзамена; </w:t>
      </w:r>
    </w:p>
    <w:p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Подтверждение квалификации эксперта со стороны Совета по профессиональным квалификациям (при наличии) - не менее 2-х человек </w:t>
      </w:r>
    </w:p>
    <w:p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ситуации конфликта интересов в отношении конкретных соискателей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9. Требования безопасности к проведению оценочных мероприятий (при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необходимости):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требуется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(проведение обязательного инструктажа на рабочем месте и другие)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10. Задания для теоретического этапа профессионального экзамена: 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При каких условиях отвечающее за ядерную установку государство может предусмотреть, чтобы перевозчик ядерного материала рассматривался как оператор ядерной установки?</w:t>
      </w:r>
      <w:r>
        <w:rPr>
          <w:rFonts w:ascii="Times New Roman" w:hAnsi="Times New Roman"/>
          <w:sz w:val="28"/>
          <w:szCs w:val="28"/>
          <w:lang w:eastAsia="ru-RU"/>
        </w:rPr>
        <w:tab/>
      </w:r>
    </w:p>
    <w:p>
      <w:pPr>
        <w:pStyle w:val="29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перевозчик не может рассматриваться как оператор ядерной установки</w:t>
      </w:r>
    </w:p>
    <w:p>
      <w:pPr>
        <w:pStyle w:val="29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любое лицо, отвечающее за перевозку ядерного материала, уже считается оператором</w:t>
      </w:r>
    </w:p>
    <w:p>
      <w:pPr>
        <w:pStyle w:val="29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случае повышенного риска возникновения ядерного инцидента</w:t>
      </w:r>
    </w:p>
    <w:p>
      <w:pPr>
        <w:pStyle w:val="29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 просьбе этого перевозчика и с согласия заинтересованного оператора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 Что является целью процесса управления требованиями на стадии предконтрактных работ?</w:t>
      </w:r>
    </w:p>
    <w:p>
      <w:pPr>
        <w:pStyle w:val="29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обеспечение подтверждения реализации Требований Проекта в Проектной Продукции (ПП)</w:t>
      </w:r>
    </w:p>
    <w:p>
      <w:pPr>
        <w:pStyle w:val="29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обеспечение соответствия измененной ТТД Требованиям Проекта в случае корректировки ПД</w:t>
      </w:r>
    </w:p>
    <w:p>
      <w:pPr>
        <w:pStyle w:val="29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утверждение Требований Проекта согласованных с основными Участниками Проекта</w:t>
      </w:r>
    </w:p>
    <w:p>
      <w:pPr>
        <w:pStyle w:val="29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обеспечение подтверждения реализации Требований Проекта в ПНД и валидации основных технико-экономических Требований Проекта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 За счёт средств какой организации производится перевод Требований Проекта в части, необходимой для заключения ЕРС- контракта?</w:t>
      </w:r>
    </w:p>
    <w:p>
      <w:pPr>
        <w:pStyle w:val="29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всех Участников проекта</w:t>
      </w:r>
    </w:p>
    <w:p>
      <w:pPr>
        <w:pStyle w:val="29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Интегратора</w:t>
      </w:r>
    </w:p>
    <w:p>
      <w:pPr>
        <w:pStyle w:val="29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ЕРС-контрактора</w:t>
      </w:r>
    </w:p>
    <w:p>
      <w:pPr>
        <w:pStyle w:val="29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Владельца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Вам предстоит разработать WBS проекта. Какой объем работ по проекту вы должны в него включить?</w:t>
      </w:r>
    </w:p>
    <w:p>
      <w:pPr>
        <w:pStyle w:val="29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100%</w:t>
      </w:r>
    </w:p>
    <w:p>
      <w:pPr>
        <w:pStyle w:val="29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95%</w:t>
      </w:r>
    </w:p>
    <w:p>
      <w:pPr>
        <w:pStyle w:val="29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90%</w:t>
      </w:r>
    </w:p>
    <w:p>
      <w:pPr>
        <w:pStyle w:val="29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75%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 Кто является ответственным за разработка категорийных стратегий по каждому лоту верхнего уровня субподряда?</w:t>
      </w:r>
    </w:p>
    <w:p>
      <w:pPr>
        <w:pStyle w:val="29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Отраслевой заказчик - участник Проекта</w:t>
      </w:r>
    </w:p>
    <w:p>
      <w:pPr>
        <w:pStyle w:val="29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EPC-контрактор/ Проектная организация</w:t>
      </w:r>
    </w:p>
    <w:p>
      <w:pPr>
        <w:pStyle w:val="29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Управление по МТО Корпорации</w:t>
      </w:r>
    </w:p>
    <w:p>
      <w:pPr>
        <w:pStyle w:val="29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Управление зарубежных проектов Корпорации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 Вам необходимо заключить Межправительственное соглашение о сооружении атомной станции. Какие разделы необходимо включить в данное соглашение? (множественный выбор)</w:t>
      </w:r>
    </w:p>
    <w:p>
      <w:pPr>
        <w:pStyle w:val="29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распределение ответственности за получение лицензий и разрешений и/или признание российских лицензий и разрешений</w:t>
      </w:r>
    </w:p>
    <w:p>
      <w:pPr>
        <w:pStyle w:val="29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гражданская ответственность за ядерный ущерб</w:t>
      </w:r>
    </w:p>
    <w:p>
      <w:pPr>
        <w:pStyle w:val="29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последствия изменения законодательства страны размещения</w:t>
      </w:r>
    </w:p>
    <w:p>
      <w:pPr>
        <w:pStyle w:val="29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последствия изменения законодательства РФ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 Какая организация отвественна за формирование номенклатуры строительных ресурсов на основе РБД РМ (ресурсной базы данных ресурсной модели) объекта-аналога?</w:t>
      </w:r>
    </w:p>
    <w:p>
      <w:pPr>
        <w:pStyle w:val="29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Проектная организация</w:t>
      </w:r>
    </w:p>
    <w:p>
      <w:pPr>
        <w:pStyle w:val="29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ОЦКС</w:t>
      </w:r>
    </w:p>
    <w:p>
      <w:pPr>
        <w:pStyle w:val="29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Интегратор</w:t>
      </w:r>
    </w:p>
    <w:p>
      <w:pPr>
        <w:pStyle w:val="29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Генподрядчик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 Как принимается и оформляется решение по выбору Проекта - аналога АЭС?</w:t>
      </w:r>
    </w:p>
    <w:p>
      <w:pPr>
        <w:pStyle w:val="29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совещании Госкорпорации "Росатом" и оформляется протоколом совещания</w:t>
      </w:r>
    </w:p>
    <w:p>
      <w:pPr>
        <w:pStyle w:val="29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Интегратор по итогам проведенного анализа принимает решение о выборе Проекта-аналога и уведомляет в установленном порядке всех Участников Проекта</w:t>
      </w:r>
    </w:p>
    <w:p>
      <w:pPr>
        <w:pStyle w:val="29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совещании у Владельца с привлечением всех Участников Проекта и оформляется протоколом совещания</w:t>
      </w:r>
    </w:p>
    <w:p>
      <w:pPr>
        <w:pStyle w:val="29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заочным голосованием всех Участников Проекта и оформляется протоколом голосования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9. Что включает в себя понятие "ядерный материал" в Венской конвенции о гражданской ответственности за ядерный ущерб? (множественный выбор)</w:t>
      </w:r>
    </w:p>
    <w:p>
      <w:pPr>
        <w:pStyle w:val="29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ядерное топливо, за исключением природного и обеднённого урана</w:t>
      </w:r>
    </w:p>
    <w:p>
      <w:pPr>
        <w:pStyle w:val="29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обеднённый уран</w:t>
      </w:r>
      <w:r>
        <w:rPr>
          <w:rFonts w:ascii="Times New Roman" w:hAnsi="Times New Roman"/>
          <w:sz w:val="28"/>
          <w:szCs w:val="28"/>
          <w:lang w:eastAsia="ru-RU"/>
        </w:rPr>
        <w:tab/>
      </w:r>
    </w:p>
    <w:p>
      <w:pPr>
        <w:pStyle w:val="29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природный уран</w:t>
      </w:r>
    </w:p>
    <w:p>
      <w:pPr>
        <w:pStyle w:val="29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радиоактивные продукты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10. Кто может быть исполнителем оценки стоимости 5-го класса?</w:t>
      </w:r>
    </w:p>
    <w:p>
      <w:pPr>
        <w:pStyle w:val="29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только организация-заказчик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только</w:t>
      </w:r>
    </w:p>
    <w:p>
      <w:pPr>
        <w:pStyle w:val="29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организация-исполнитель</w:t>
      </w:r>
    </w:p>
    <w:p>
      <w:pPr>
        <w:pStyle w:val="29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только сторонняя независимая организация</w:t>
      </w:r>
    </w:p>
    <w:p>
      <w:pPr>
        <w:pStyle w:val="29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любая организация, участвующая в планировании проектов ОИАЭ за рубежом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11. Ответственным за выпуск какого комплекта документов является ЕРС-контрактор? (множественный выбор)</w:t>
      </w:r>
    </w:p>
    <w:p>
      <w:pPr>
        <w:pStyle w:val="29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программа обеспечения качества ПОК(Оl)</w:t>
      </w:r>
    </w:p>
    <w:p>
      <w:pPr>
        <w:pStyle w:val="29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разделительная ведомость</w:t>
      </w:r>
    </w:p>
    <w:p>
      <w:pPr>
        <w:pStyle w:val="29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программа обеспечения качества ПОК(П)</w:t>
      </w:r>
    </w:p>
    <w:p>
      <w:pPr>
        <w:pStyle w:val="29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программа обеспечения качества ПОК(О)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12. В каком документе должны быть указаны исходные данные в части локализации ресурсов и работ и данные Мониторинга цен?</w:t>
      </w:r>
    </w:p>
    <w:p>
      <w:pPr>
        <w:pStyle w:val="29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сценарные условия к расчёту</w:t>
      </w:r>
    </w:p>
    <w:p>
      <w:pPr>
        <w:pStyle w:val="29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условия реализации Проекта по сооружению ОИАЭ</w:t>
      </w:r>
    </w:p>
    <w:p>
      <w:pPr>
        <w:pStyle w:val="29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проектная документация</w:t>
      </w:r>
    </w:p>
    <w:p>
      <w:pPr>
        <w:pStyle w:val="29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заключение по маркетинговому исследованию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13. Кому вы направите материалы технического проекта АЭС и состояния ядерной инфраструктуры для обеспечения проведения оценки стоимости проекта по 3-му классу?</w:t>
      </w:r>
    </w:p>
    <w:p>
      <w:pPr>
        <w:pStyle w:val="29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Интегратору по международным продажам</w:t>
      </w:r>
    </w:p>
    <w:p>
      <w:pPr>
        <w:pStyle w:val="29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ЕРС-контрактору</w:t>
      </w:r>
    </w:p>
    <w:p>
      <w:pPr>
        <w:pStyle w:val="29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Системному интегратору - главному конструктору автоматизированной системы управления тех. процессам</w:t>
      </w:r>
    </w:p>
    <w:p>
      <w:pPr>
        <w:pStyle w:val="29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Генпроектировщику АЭС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14. В состав какого раздела проектной документации на объекты капитального строительства производственного и непроизводственного назначения входят данные о проектной мощности объекта капитального строительства - для объектов производственного назначения?</w:t>
      </w:r>
    </w:p>
    <w:p>
      <w:pPr>
        <w:pStyle w:val="29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Раздел 1 Пояснительная записка</w:t>
      </w:r>
    </w:p>
    <w:p>
      <w:pPr>
        <w:pStyle w:val="29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Раздел 5 Проект организации строительства</w:t>
      </w:r>
    </w:p>
    <w:p>
      <w:pPr>
        <w:pStyle w:val="29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Раздел 4 Здания, строения и сооружения, входящие в инфраструктуру линейного объекта</w:t>
      </w:r>
    </w:p>
    <w:p>
      <w:pPr>
        <w:pStyle w:val="29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Раздел 3 Архитектурные решения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15. На каком этапе процесса проектирования должно начинаться проведение оценок безопасности атомных электростанций?</w:t>
      </w:r>
    </w:p>
    <w:p>
      <w:pPr>
        <w:pStyle w:val="29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основном этапе</w:t>
      </w:r>
    </w:p>
    <w:p>
      <w:pPr>
        <w:pStyle w:val="29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раннем этапе</w:t>
      </w:r>
    </w:p>
    <w:p>
      <w:pPr>
        <w:pStyle w:val="29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заключительном этапе</w:t>
      </w:r>
    </w:p>
    <w:p>
      <w:pPr>
        <w:pStyle w:val="29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этапе разработки рабочей документации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16. Кем и в каких документах указывается необходимость разработки проектной документации на объект капитального строительства применительно к отдельным этапам строительства?</w:t>
      </w:r>
    </w:p>
    <w:p>
      <w:pPr>
        <w:pStyle w:val="29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необходимость разработки проектной документации на объект капитального строительства применительно к отдельным этапам строительства устанавливается заказчиком и указывается в задании на проектирование</w:t>
      </w:r>
    </w:p>
    <w:p>
      <w:pPr>
        <w:pStyle w:val="29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необходимость разработки проектной документации на объект капитального строительства применительно к отдельным этапам строительства устанавливается проектировщиком</w:t>
      </w:r>
    </w:p>
    <w:p>
      <w:pPr>
        <w:pStyle w:val="29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необходимость разработки проектной документации на объект капитального строительства применительно к отдельным этапам строительства устанавливается Правительством РФ</w:t>
      </w:r>
    </w:p>
    <w:p>
      <w:pPr>
        <w:pStyle w:val="29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необходимость разработки проектной документации на объект капитального строительства применительно к отдельным этапам строительства устанавливается организацией, проводящей экспертизу проектной документации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17. Какой принцип в надлежащих случаях должен применяться при проектировании систем и элементов, важных для безопасности атомной электростанции?</w:t>
      </w:r>
    </w:p>
    <w:p>
      <w:pPr>
        <w:pStyle w:val="29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принцип консервативного подхода</w:t>
      </w:r>
    </w:p>
    <w:p>
      <w:pPr>
        <w:pStyle w:val="29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принцип управления безопасностью</w:t>
      </w:r>
    </w:p>
    <w:p>
      <w:pPr>
        <w:pStyle w:val="29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принцип отказобезопасного проектирования</w:t>
      </w:r>
    </w:p>
    <w:p>
      <w:pPr>
        <w:pStyle w:val="29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принцип необходимой надежности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18. Какая организация несёт ответственность за согласование разработанных программ обеспечения качества (ПОК) с Заказчиком, с привлечением участников в зонах их ответственности?</w:t>
      </w:r>
    </w:p>
    <w:p>
      <w:pPr>
        <w:pStyle w:val="29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ЕРС-контрактор</w:t>
      </w:r>
    </w:p>
    <w:p>
      <w:pPr>
        <w:pStyle w:val="29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Генпроектировщик АЭС</w:t>
      </w:r>
    </w:p>
    <w:p>
      <w:pPr>
        <w:pStyle w:val="29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Системный интегратор - главный конструктор автоматизированной системы управления тех. процессами</w:t>
      </w:r>
    </w:p>
    <w:p>
      <w:pPr>
        <w:pStyle w:val="29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Интегратор по ядерной инфраструктуре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19. Что из перечисленного является задачами процесса управления требованиями на стадии проектирования (проектная документация)? (множественный выбор)</w:t>
      </w:r>
    </w:p>
    <w:p>
      <w:pPr>
        <w:pStyle w:val="29"/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обеспечение контроля над процессом согласования Требований Проекта за счет использования количественных показателей выполненной работы</w:t>
      </w:r>
    </w:p>
    <w:p>
      <w:pPr>
        <w:pStyle w:val="29"/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обеспечение одинаковых для всех Участников Проекта формулировок Требований Проекта</w:t>
      </w:r>
    </w:p>
    <w:p>
      <w:pPr>
        <w:pStyle w:val="29"/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формирование набора статистических показателей и отчетности по процессу управления требованиями</w:t>
      </w:r>
    </w:p>
    <w:p>
      <w:pPr>
        <w:pStyle w:val="29"/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управление изменениями Требований Проекта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20. Вам необходимо сформировать базовый бюджет нового Проекта. Данные какой оценки стоимости Вы будете использовать?</w:t>
      </w:r>
    </w:p>
    <w:p>
      <w:pPr>
        <w:pStyle w:val="29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оценку стоимости 5 класса</w:t>
      </w:r>
    </w:p>
    <w:p>
      <w:pPr>
        <w:pStyle w:val="29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оценку стоимости 4 класса</w:t>
      </w:r>
    </w:p>
    <w:p>
      <w:pPr>
        <w:pStyle w:val="29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оценку стоимости 3 класса</w:t>
      </w:r>
    </w:p>
    <w:p>
      <w:pPr>
        <w:pStyle w:val="29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оценку стоимости 2 класса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21. Кто несет ответственность за проверку адекватности конструкции и надлежащего качества установок и деятельности и связанных с ними оборудования?</w:t>
      </w:r>
    </w:p>
    <w:p>
      <w:pPr>
        <w:pStyle w:val="29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лицензиат</w:t>
      </w:r>
    </w:p>
    <w:p>
      <w:pPr>
        <w:pStyle w:val="29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правительственные органы</w:t>
      </w:r>
    </w:p>
    <w:p>
      <w:pPr>
        <w:pStyle w:val="29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регулирующий орган</w:t>
      </w:r>
    </w:p>
    <w:p>
      <w:pPr>
        <w:pStyle w:val="29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проектировщик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22. Оценка по 2-му классу производится методом "набегающей волны". В чем суть метода?</w:t>
      </w:r>
    </w:p>
    <w:p>
      <w:pPr>
        <w:pStyle w:val="29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метод предполагает, что детализированное планирование бедующих работ проводится последовательно по мере продвижения проекта по жизненному циклу, в сторону совершенствования планирования и увеличения степени определенности стоимостной оценки</w:t>
      </w:r>
    </w:p>
    <w:p>
      <w:pPr>
        <w:pStyle w:val="29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метод предусматривает оценку затрат на детальных уровнях проекта, а затем суммирование затрат на более высоких уровнях обобщения для получения оценки стоимости (сметы) всего проекта</w:t>
      </w:r>
    </w:p>
    <w:p>
      <w:pPr>
        <w:pStyle w:val="29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суть метода заключается в том, что для предсказания стоимости оцениваемого проекта используются фактические данные о стоимости прежде выполненных проектов</w:t>
      </w:r>
    </w:p>
    <w:p>
      <w:pPr>
        <w:pStyle w:val="29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оценка по методу состоит в нахождении такого параметра проекта, изменение которого влечет пропорциональное изменение стоимости проекта, и математическая модель строится на основе одного или нескольких параметров, после ввода в модель значений параметров в результате расчетов получается оценка стоимости проекта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23. Что является результатом выполнения порядка управления требованиями на стадии рабочая документация и строительство?</w:t>
      </w:r>
    </w:p>
    <w:p>
      <w:pPr>
        <w:pStyle w:val="29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факт поступления Требований Проекта к Интегратору от Владельца для их согласования и подготовки ЕРС-контракта</w:t>
      </w:r>
    </w:p>
    <w:p>
      <w:pPr>
        <w:pStyle w:val="29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факт передачи Владельцем ЕРС-контрактору утвержденных Требований Проекта</w:t>
      </w:r>
    </w:p>
    <w:p>
      <w:pPr>
        <w:pStyle w:val="29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факт подтверждения Владельцем в УОСС лицензий и разрешений на строительство АЭС</w:t>
      </w:r>
    </w:p>
    <w:p>
      <w:pPr>
        <w:pStyle w:val="29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факт передачи ЕРС-контрактором Генеральному подрядчику по ПНР Требований Проекта, утвержденных Критериев выполнения Требований Проекта, утвержденных запросов на изменение Требований Проекта и данных о Связях Требований Проекта и ПП (проектной документации)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24. Чем определяется вопрос переводов замечаний УОСС на русский язык при проведении Владельцем экспертизы выполнения Требований Проекта в измененной ПД и обращения в УОСС для подтверждения полученных ранее лицензий и разрешений на сооружение АЭС?</w:t>
      </w:r>
    </w:p>
    <w:p>
      <w:pPr>
        <w:pStyle w:val="29"/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ЕРС-контрактом</w:t>
      </w:r>
    </w:p>
    <w:p>
      <w:pPr>
        <w:pStyle w:val="29"/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договором между ЕРС-контрактором и Генеральным проектировщиком на корректировку ПД</w:t>
      </w:r>
    </w:p>
    <w:p>
      <w:pPr>
        <w:pStyle w:val="29"/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регламентом работы УОСС</w:t>
      </w:r>
    </w:p>
    <w:p>
      <w:pPr>
        <w:pStyle w:val="29"/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единым отраслевым порядком управления требованиями на различных стадиях ЖЦ АЭС для проектов сооружения АЭС за рубежом, утвержденный приказом Госкорпорации "Росатом" от 11.07.2017 N 1/636-П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25. Взаимодействие Участников Проекта осуществляется через собственные ИСУТ (информационная система управления требованиями). Чьи ИСУТ должны содержать полный перечень проектной продукции? (множественный выбор)</w:t>
      </w:r>
    </w:p>
    <w:p>
      <w:pPr>
        <w:pStyle w:val="29"/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ИСУТ ЕРС-контрактора</w:t>
      </w:r>
    </w:p>
    <w:p>
      <w:pPr>
        <w:pStyle w:val="29"/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ИСУТ Генерального подрядчика по СМР</w:t>
      </w:r>
      <w:r>
        <w:rPr>
          <w:rFonts w:ascii="Times New Roman" w:hAnsi="Times New Roman"/>
          <w:sz w:val="28"/>
          <w:szCs w:val="28"/>
          <w:lang w:eastAsia="ru-RU"/>
        </w:rPr>
        <w:tab/>
      </w:r>
    </w:p>
    <w:p>
      <w:pPr>
        <w:pStyle w:val="29"/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ИСУТ Генерального проектировщика</w:t>
      </w:r>
    </w:p>
    <w:p>
      <w:pPr>
        <w:pStyle w:val="29"/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ИСУТ Интегратора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26. На ком лежит ответственность за разработку РД (рабочей документации) на стадии рабочая документация и строительство?</w:t>
      </w:r>
    </w:p>
    <w:p>
      <w:pPr>
        <w:pStyle w:val="29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ЕРС-контракторе</w:t>
      </w:r>
      <w:r>
        <w:rPr>
          <w:rFonts w:ascii="Times New Roman" w:hAnsi="Times New Roman"/>
          <w:sz w:val="28"/>
          <w:szCs w:val="28"/>
          <w:lang w:eastAsia="ru-RU"/>
        </w:rPr>
        <w:tab/>
      </w:r>
    </w:p>
    <w:p>
      <w:pPr>
        <w:pStyle w:val="29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Генеральном подрядчике по СМР</w:t>
      </w:r>
    </w:p>
    <w:p>
      <w:pPr>
        <w:pStyle w:val="29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Генеральном проектировщике</w:t>
      </w:r>
    </w:p>
    <w:p>
      <w:pPr>
        <w:pStyle w:val="29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Интеграторе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27. Для какого класса оценки стоимости проекта на этапе строительно-монтажных работ оценка должна производиться путем составления локальной сметы по рабочей документации?</w:t>
      </w:r>
    </w:p>
    <w:p>
      <w:pPr>
        <w:pStyle w:val="29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оценка стоимости проекта по 2-му классу</w:t>
      </w:r>
    </w:p>
    <w:p>
      <w:pPr>
        <w:pStyle w:val="29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оценка стоимости проекта по 3-му классу</w:t>
      </w:r>
    </w:p>
    <w:p>
      <w:pPr>
        <w:pStyle w:val="29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оценка стоимости проекта по 4-му классу</w:t>
      </w:r>
    </w:p>
    <w:p>
      <w:pPr>
        <w:pStyle w:val="29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оценка стоимости проекта по 5-му классу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28. Если в ходе анализа, который проводит Генеральный подрядчик по СМР на стадии рабочая документация и строительство выяснилось, что предполагаемые изменения ПД (проектная документация) ведут к тому, что ПД перестает удовлетворять Требованиям Проекта, с кем Генеральный проектировщик согласовывает возможность отклонения от Требований Проекта? (множественный выбор)</w:t>
      </w:r>
    </w:p>
    <w:p>
      <w:pPr>
        <w:pStyle w:val="29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Генеральным подрядчиком по СМР</w:t>
      </w:r>
    </w:p>
    <w:p>
      <w:pPr>
        <w:pStyle w:val="29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ЕРС-контрактором</w:t>
      </w:r>
    </w:p>
    <w:p>
      <w:pPr>
        <w:pStyle w:val="29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Интегратором</w:t>
      </w:r>
    </w:p>
    <w:p>
      <w:pPr>
        <w:pStyle w:val="29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Владельцем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29. Вам необходимо выполнить декомпозицию узла WBS. До этого все узлы были декомпозированы до 6 уровня. До какого уровня может быть декомпозирован узел, с которым работаете вы?</w:t>
      </w:r>
    </w:p>
    <w:p>
      <w:pPr>
        <w:pStyle w:val="29"/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узел должен быть декомпозирован до 6 уровня</w:t>
      </w:r>
    </w:p>
    <w:p>
      <w:pPr>
        <w:pStyle w:val="29"/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узел должен быть декомпозирован до 6 уровня и глубже</w:t>
      </w:r>
    </w:p>
    <w:p>
      <w:pPr>
        <w:pStyle w:val="29"/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узел может быть декомпозирован до любого необходимого уровня</w:t>
      </w:r>
    </w:p>
    <w:p>
      <w:pPr>
        <w:pStyle w:val="29"/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узел может быть декомпозирован на уровень от 1 до 6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30. Кто должен организовать и обеспечить выполнение процесса управления изменениями Требований Проекта, а также своевременно отражать результаты согласования/утверждения этих изменений в ИСУТ и требовать передачи изменений по всей цепочки подрядчиков?</w:t>
      </w:r>
    </w:p>
    <w:p>
      <w:pPr>
        <w:pStyle w:val="29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Генеральный подрядчик по СМР</w:t>
      </w:r>
    </w:p>
    <w:p>
      <w:pPr>
        <w:pStyle w:val="29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ЕРС-контрактор</w:t>
      </w:r>
    </w:p>
    <w:p>
      <w:pPr>
        <w:pStyle w:val="29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Интегратор</w:t>
      </w:r>
    </w:p>
    <w:p>
      <w:pPr>
        <w:pStyle w:val="29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Владелец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31. Кто определяет в проекте энергоблока АС способы и методы проведения индивидуальных испытаний трубопроводов и оборудования и следующих за ними пусконаладочных работ после их приёмки из монтажа в ПНР?</w:t>
      </w:r>
    </w:p>
    <w:p>
      <w:pPr>
        <w:pStyle w:val="29"/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Генпроектировщик</w:t>
      </w:r>
    </w:p>
    <w:p>
      <w:pPr>
        <w:pStyle w:val="29"/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Главный конструктор РУ</w:t>
      </w:r>
    </w:p>
    <w:p>
      <w:pPr>
        <w:pStyle w:val="29"/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Научный руководитель проекта АС и реакторной установки</w:t>
      </w:r>
    </w:p>
    <w:p>
      <w:pPr>
        <w:pStyle w:val="29"/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Заказчик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32. С какого момента начинается этап "Энергетический пуск"?</w:t>
      </w:r>
    </w:p>
    <w:p>
      <w:pPr>
        <w:pStyle w:val="29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после допуска персонала на разуплотнение реактора и другого оборудования первого контура</w:t>
      </w:r>
    </w:p>
    <w:p>
      <w:pPr>
        <w:pStyle w:val="29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 момента вывоза ядерного топлива из хранилища свежего топлива с целью загрузки в реактор</w:t>
      </w:r>
    </w:p>
    <w:p>
      <w:pPr>
        <w:pStyle w:val="29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c увеличения мощности реактора выше 1% от проектной мощности РУ</w:t>
      </w:r>
    </w:p>
    <w:p>
      <w:pPr>
        <w:pStyle w:val="29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после успешного проведения испытаний на плотность первого контура и ПГ по второму контуру давлением 35 кг/см2 (3,2 МПа) и 20 кг/см2 (1,96 МПа) соответственно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33. На каком этапе ввода в эксплуатацию энергоблока АС вы будете выполнять следующие подэтапы: 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-подготовительный подэтап; 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-испытания и опробование оборудования;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-испытания герметичного ограждения;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-холодно-горячая обкатка РУ;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-ревизия основного оборудования РУ.</w:t>
      </w:r>
    </w:p>
    <w:p>
      <w:pPr>
        <w:pStyle w:val="29"/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«физический пуск»</w:t>
      </w:r>
    </w:p>
    <w:p>
      <w:pPr>
        <w:pStyle w:val="29"/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«энергетический пуск»</w:t>
      </w:r>
    </w:p>
    <w:p>
      <w:pPr>
        <w:pStyle w:val="29"/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«предпусковые наладочные работы»</w:t>
      </w:r>
    </w:p>
    <w:p>
      <w:pPr>
        <w:pStyle w:val="29"/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«опытно-промышленная эксплуатация»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34. За что из перечисленного лицензиат несет ответственность, согласно нормам МАГАТЭ SF-1 Основополагающие принципы безопасности. Основы безопасности? (множественный выбор)</w:t>
      </w:r>
    </w:p>
    <w:p>
      <w:pPr>
        <w:pStyle w:val="29"/>
        <w:widowControl w:val="0"/>
        <w:numPr>
          <w:ilvl w:val="0"/>
          <w:numId w:val="37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проверку адекватности конструкции и надлежащего качества установок и деятельности и связанных с ними оборудования</w:t>
      </w:r>
    </w:p>
    <w:p>
      <w:pPr>
        <w:pStyle w:val="29"/>
        <w:widowControl w:val="0"/>
        <w:numPr>
          <w:ilvl w:val="0"/>
          <w:numId w:val="37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обеспечение безопасного контроля за любым используемым, производимым, хранящимся или перевозимым радиоактивным материалом</w:t>
      </w:r>
    </w:p>
    <w:p>
      <w:pPr>
        <w:pStyle w:val="29"/>
        <w:widowControl w:val="0"/>
        <w:numPr>
          <w:ilvl w:val="0"/>
          <w:numId w:val="37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обеспечение безопасного контроля за любыми образующимися радиоактивными отходами</w:t>
      </w:r>
    </w:p>
    <w:p>
      <w:pPr>
        <w:pStyle w:val="29"/>
        <w:widowControl w:val="0"/>
        <w:numPr>
          <w:ilvl w:val="0"/>
          <w:numId w:val="37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выдачу лицензий на эксплуатацию ядерных установок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35. Может ли лицензиат, делегировать ответственность за обеспечение безопасности на протяжении всего жизненного цикла установок?</w:t>
      </w:r>
    </w:p>
    <w:p>
      <w:pPr>
        <w:pStyle w:val="29"/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может</w:t>
      </w:r>
    </w:p>
    <w:p>
      <w:pPr>
        <w:pStyle w:val="29"/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может</w:t>
      </w:r>
    </w:p>
    <w:p>
      <w:pPr>
        <w:pStyle w:val="29"/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может, но только уполномоченной организации</w:t>
      </w:r>
    </w:p>
    <w:p>
      <w:pPr>
        <w:pStyle w:val="29"/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может, но только с разрешения МАГАТЭ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36. Кто инициирует изменения Требований Проекта на стадии ввода в эксплуатацию, если в ходе анализа возникла такая необходимость?</w:t>
      </w:r>
    </w:p>
    <w:p>
      <w:pPr>
        <w:pStyle w:val="29"/>
        <w:widowControl w:val="0"/>
        <w:numPr>
          <w:ilvl w:val="0"/>
          <w:numId w:val="39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Генеральный подрядчик по ПНР</w:t>
      </w:r>
    </w:p>
    <w:p>
      <w:pPr>
        <w:pStyle w:val="29"/>
        <w:widowControl w:val="0"/>
        <w:numPr>
          <w:ilvl w:val="0"/>
          <w:numId w:val="39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ЕРС-контрактор</w:t>
      </w:r>
    </w:p>
    <w:p>
      <w:pPr>
        <w:pStyle w:val="29"/>
        <w:widowControl w:val="0"/>
        <w:numPr>
          <w:ilvl w:val="0"/>
          <w:numId w:val="39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Владелец</w:t>
      </w:r>
    </w:p>
    <w:p>
      <w:pPr>
        <w:pStyle w:val="29"/>
        <w:widowControl w:val="0"/>
        <w:numPr>
          <w:ilvl w:val="0"/>
          <w:numId w:val="39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Любой участник проекта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37. Для какого класса оценки целями оценки являются: обновление детального Базиса по стоимости для контроля фактических затрат и прогресса выполнения Проекта и контроль решений на изменение Проекта?"</w:t>
      </w:r>
    </w:p>
    <w:p>
      <w:pPr>
        <w:pStyle w:val="29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 класс</w:t>
      </w:r>
    </w:p>
    <w:p>
      <w:pPr>
        <w:pStyle w:val="29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 класс</w:t>
      </w:r>
    </w:p>
    <w:p>
      <w:pPr>
        <w:pStyle w:val="29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 класс</w:t>
      </w:r>
    </w:p>
    <w:p>
      <w:pPr>
        <w:pStyle w:val="29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 класс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38. На каком этапе ввода в эксплуатацию энергоблока АС вы будете выполнять следующие подэтапы 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-загрузка реактора ядерным топливом и испытания в подкритическом состоянии; 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-достижение критического состояния реактора и выполнение физических испытаний в критическом состоянии?</w:t>
      </w:r>
    </w:p>
    <w:p>
      <w:pPr>
        <w:pStyle w:val="29"/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«физический пуск»</w:t>
      </w:r>
    </w:p>
    <w:p>
      <w:pPr>
        <w:pStyle w:val="29"/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«энергетический пуск»</w:t>
      </w:r>
    </w:p>
    <w:p>
      <w:pPr>
        <w:pStyle w:val="29"/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«предпусковые наладочные работы»</w:t>
      </w:r>
    </w:p>
    <w:p>
      <w:pPr>
        <w:pStyle w:val="29"/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«опытно-промышленная эксплуатация»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39. Вам необходимо обновить детальный базис по стоимости для контроля фактических затрат и прогресса выполнения Проекта. Какие материалы Вы используете для этого?</w:t>
      </w:r>
    </w:p>
    <w:p>
      <w:pPr>
        <w:pStyle w:val="29"/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оценку стоимости 4 класса</w:t>
      </w:r>
    </w:p>
    <w:p>
      <w:pPr>
        <w:pStyle w:val="29"/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оценку стоимости 3 класса</w:t>
      </w:r>
    </w:p>
    <w:p>
      <w:pPr>
        <w:pStyle w:val="29"/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оценку стоимости 2 класса</w:t>
      </w:r>
    </w:p>
    <w:p>
      <w:pPr>
        <w:pStyle w:val="29"/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оценку стоимости 1 класса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40. Кем должны производиться испытания технологических систем/оборудования, являющихся неотъемлемыми элементами строительной части зданий и сооружений пусковых комплексов блоков АС (ливневая канализация, дренажи зданий, естественная вентиляция и др.)?</w:t>
      </w:r>
    </w:p>
    <w:p>
      <w:pPr>
        <w:pStyle w:val="29"/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технологическим отделом АС</w:t>
      </w:r>
    </w:p>
    <w:p>
      <w:pPr>
        <w:pStyle w:val="29"/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строительными организациями</w:t>
      </w:r>
    </w:p>
    <w:p>
      <w:pPr>
        <w:pStyle w:val="29"/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генподрядчиком по ПНР</w:t>
      </w:r>
    </w:p>
    <w:p>
      <w:pPr>
        <w:pStyle w:val="29"/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администрацией АС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11. Критерии оценки (ключи к заданиям), правила обработки результатов теоретического этапа профессионального экзамена и принятия решения о допуске (отказе в допуске) к практическому этапу профессионального экзамена: 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</w:p>
    <w:p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12. Задания для практического этапа профессионального экзамена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Задание № 1</w:t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реализуете проект по строительству АЭС с реакторной установкой ВВЭР-1200 суммарной мощностью 2400 МВт за рубежом в стране N. Это серийный проект атомной электростанции, разработанный на базе уже существующего проекта. Проектные решения станции отвечают всем современным требованиям мирового ядерного сообщества, закрепленным в нормах безопасности МАГАТЭ. Для страны это первая АЭС.</w:t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настоящее время на стройплощадке станции выполняются строительно-монтажные работы, до окончания этого этапа остался 1 год. В процессе проведения СМР регулярно происходили сбои при поставке оборудования и материалов. На данный момент отставание от графика сооружения составляет 1 год. </w:t>
      </w:r>
    </w:p>
    <w:p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Недавно произошло несколько серьезных событий:</w:t>
      </w:r>
    </w:p>
    <w:p>
      <w:pPr>
        <w:pStyle w:val="29"/>
        <w:numPr>
          <w:ilvl w:val="0"/>
          <w:numId w:val="44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прошлой неделе поставщик отгрузил оборудование, монтаж которого будет производиться через 3 месяца, хотя до сих пор задерживает поставку МТР, необходимых сейчас. </w:t>
      </w:r>
    </w:p>
    <w:p>
      <w:pPr>
        <w:pStyle w:val="29"/>
        <w:numPr>
          <w:ilvl w:val="0"/>
          <w:numId w:val="44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этой неделе ожидалась поставка электротехнического оборудования (от другого поставщика), но день назад выяснилось, что она будет задержана, и это в дальнейшем приведет к срыву сроков последующих этапов ввода энергоблока. При разборе ситуации оказалось, что конкурсная процедура на поставку этого оборудования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была проведена с опозданием и выбран был поставщик, у которого не было опыта изготовления такого оборудования</w:t>
      </w:r>
    </w:p>
    <w:p>
      <w:pPr>
        <w:pStyle w:val="29"/>
        <w:numPr>
          <w:ilvl w:val="0"/>
          <w:numId w:val="44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Было выявлено оборудование ненадлежащего качества по итогам хранения из-за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слабой защищенности стандартной упаковки</w:t>
      </w:r>
    </w:p>
    <w:p>
      <w:pPr>
        <w:spacing w:before="120"/>
        <w:ind w:firstLine="709"/>
        <w:rPr>
          <w:rFonts w:ascii="Times New Roman" w:hAnsi="Times New Roman"/>
          <w:b/>
          <w:bCs/>
          <w:sz w:val="28"/>
          <w:szCs w:val="28"/>
        </w:rPr>
      </w:pPr>
    </w:p>
    <w:p>
      <w:pPr>
        <w:spacing w:before="12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</w:t>
      </w:r>
    </w:p>
    <w:p>
      <w:pPr>
        <w:pStyle w:val="29"/>
        <w:widowControl w:val="0"/>
        <w:numPr>
          <w:ilvl w:val="0"/>
          <w:numId w:val="4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Укажите какие ошибки были допущены при планировании и реализации поставок оборудования и материалов</w:t>
      </w:r>
    </w:p>
    <w:p>
      <w:pPr>
        <w:pStyle w:val="29"/>
        <w:widowControl w:val="0"/>
        <w:numPr>
          <w:ilvl w:val="0"/>
          <w:numId w:val="4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Опишите какие действия необходимо предпринять для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снижения негативных последствий описанных событий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  <w:u w:val="single"/>
        </w:rPr>
        <w:t>Условия выполнения задания:</w:t>
      </w:r>
    </w:p>
    <w:p>
      <w:pPr>
        <w:pStyle w:val="39"/>
        <w:widowControl w:val="0"/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выполнения задания: экзаменационный класс;</w:t>
      </w:r>
    </w:p>
    <w:p>
      <w:pPr>
        <w:pStyle w:val="39"/>
        <w:widowControl w:val="0"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реальное (модельное) рабочее место, оснащенное компьютерной техникой</w:t>
      </w:r>
    </w:p>
    <w:p>
      <w:pPr>
        <w:pStyle w:val="2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максимальное время выполнения задания: 10 минут</w:t>
      </w:r>
    </w:p>
    <w:p>
      <w:pPr>
        <w:pStyle w:val="2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27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Критерии оценки:</w:t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widowControl w:val="0"/>
        <w:autoSpaceDE w:val="0"/>
        <w:autoSpaceDN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13. Правила обработки результатов профессионального экзамена и принятия решения о соответствии квалификации соискателя требованиям к квалификации: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14. Перечень нормативных правовых и иных документов, использованных при подготовке комплекта оценочных средств (при наличии)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pStyle w:val="29"/>
        <w:widowControl w:val="0"/>
        <w:numPr>
          <w:ilvl w:val="3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PMBook шестое издания</w:t>
      </w:r>
    </w:p>
    <w:p>
      <w:pPr>
        <w:pStyle w:val="29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ВЕНСКАЯ КОНВЕНЦИЯ О ГРАЖДАНСКОЙ ОТВЕТСТВЕННОСТИ ЗА ЯДЕРНЫЙ УЩЕРБ</w:t>
      </w:r>
    </w:p>
    <w:p>
      <w:pPr>
        <w:pStyle w:val="29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Инкотермс, редакция 2020</w:t>
      </w:r>
    </w:p>
    <w:p>
      <w:pPr>
        <w:pStyle w:val="29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Конвенция о ядерной безопасности</w:t>
      </w:r>
    </w:p>
    <w:p>
      <w:pPr>
        <w:pStyle w:val="29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МАГАТЭ GS-R-3 Система управления для установок и деятельности (2006 г.).</w:t>
      </w:r>
    </w:p>
    <w:p>
      <w:pPr>
        <w:pStyle w:val="29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МАГАТЭ NS-G-2.2 Пределы и условия для эксплуатации и эксплуатационные процедуры для атомных электростанций</w:t>
      </w:r>
    </w:p>
    <w:p>
      <w:pPr>
        <w:pStyle w:val="29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МАГАТЭ № NS-G-1.6 Проектирование и аттестация сейсмостойких конструкций для атомных электростанций</w:t>
      </w:r>
    </w:p>
    <w:p>
      <w:pPr>
        <w:pStyle w:val="29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МАГАТЭ № NS-G-3.1 Внешние события техногенного происхождения в оценке площадки для атомных электростанций, Руководство по безопасности</w:t>
      </w:r>
    </w:p>
    <w:p>
      <w:pPr>
        <w:pStyle w:val="29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МАГАТЭ № NS-R-2 Безопасность атомных электростанций: эксплуатация</w:t>
      </w:r>
    </w:p>
    <w:p>
      <w:pPr>
        <w:pStyle w:val="29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МАГАТЭ № RS-G-1.8 Контроль окружающей среды и источника в целях обеспечения радиационной защиты</w:t>
      </w:r>
    </w:p>
    <w:p>
      <w:pPr>
        <w:pStyle w:val="29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МАГАТЭ SF-1 Основополагающие принципы безопасности. Основы безопасности</w:t>
      </w:r>
    </w:p>
    <w:p>
      <w:pPr>
        <w:pStyle w:val="29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МАГАТЭ SSR-2/1 Безопасность атомных электростанций: Проектирование</w:t>
      </w:r>
    </w:p>
    <w:p>
      <w:pPr>
        <w:pStyle w:val="29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Приказом Госкорпорации «Росатом» N1/1352-П от 05.12.2019 «Об утверждении единых отраслевых методических указаний по проведению оценки стоимости сооружения объектов атомной энергии»</w:t>
      </w:r>
    </w:p>
    <w:p>
      <w:pPr>
        <w:pStyle w:val="29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Постановление Правительства Российской Федерации «Положение о составе разделов проектной документации и требованиях к их содержанию» от 16.02.2008 № 87</w:t>
      </w:r>
    </w:p>
    <w:p>
      <w:pPr>
        <w:pStyle w:val="29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Приказ Госкорпорации «Росатом» от 10.06.2019 N 1/560-П «Об утверждении Временного единого отраслевого порядка сквозного процесса «От идеи проекта до лицензии на сооружение АЭС»</w:t>
      </w:r>
    </w:p>
    <w:p>
      <w:pPr>
        <w:pStyle w:val="29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Приказ Госкорпорации «Росатом» от 08.11.2018 N 1/1272-П «О классификаторах для построения структур декомпозиции работ, используемых в проектах сооружения АЭС»</w:t>
      </w:r>
    </w:p>
    <w:p>
      <w:pPr>
        <w:pStyle w:val="29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Приказ Госкорпорации «Росатом» от 11.07.2017 N 1/636-П «Об утверждении Единого отраслевого порядка управления требованиями на различных стадиях ЖЦ АЭС для проектов сооружения АЭС за рубежом»</w:t>
      </w:r>
    </w:p>
    <w:p>
      <w:pPr>
        <w:pStyle w:val="29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Приказ Госкорпорации «Росатом» от 14.09.2018 N 1/1032-П «Об утверждении Единого отраслевого порядка мониторинга цен строительных ресурсов для объектов, реализуемых за пределами Российской Федерации»</w:t>
      </w:r>
    </w:p>
    <w:p>
      <w:pPr>
        <w:pStyle w:val="29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Приказ Госкорпорации «Росатом» от 15.03.2019 N 1/261-П «Об утверждении Положения по ядерной инфраструктуре»</w:t>
      </w:r>
    </w:p>
    <w:p>
      <w:pPr>
        <w:pStyle w:val="29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Приказ Госкорпорации «Росатом» от 15.08.2018 N 1/904-П «Об утверждении Единого отраслевого порядка выбора проекта - аналога АЭС большой мощности для предложения иностранным заказчикам»</w:t>
      </w:r>
    </w:p>
    <w:p>
      <w:pPr>
        <w:pStyle w:val="29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Приказ Госкорпорации «Росатом» от 30.12.2019 N 1/1526-П «Об утверждении Единых отраслевых методических указаний по разработке и применению контрактных стратегий для реализации проектов сооружения АЭС большой мощности и ЦЯНТ за рубежом»</w:t>
      </w:r>
    </w:p>
    <w:p>
      <w:pPr>
        <w:pStyle w:val="29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СТО 1.1.1.03.003.0880-2017 Ввод в эксплуатацию блоков атомных станций с водо-водяными энергетическими реакторами. Объем и последовательность пусконаладочных работ. Общие положения.</w:t>
      </w: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PAGE   \* MERGEFORMAT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18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before="0" w:after="0" w:line="259" w:lineRule="auto"/>
      </w:pPr>
      <w:r>
        <w:separator/>
      </w:r>
    </w:p>
  </w:footnote>
  <w:footnote w:type="continuationSeparator" w:id="3">
    <w:p>
      <w:pPr>
        <w:spacing w:before="0" w:after="0" w:line="259" w:lineRule="auto"/>
      </w:pPr>
      <w:r>
        <w:continuationSeparator/>
      </w:r>
    </w:p>
  </w:footnote>
  <w:footnote w:id="0">
    <w:p/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3A103B"/>
    <w:multiLevelType w:val="multilevel"/>
    <w:tmpl w:val="023A103B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72C1C"/>
    <w:multiLevelType w:val="multilevel"/>
    <w:tmpl w:val="06772C1C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A2CE7"/>
    <w:multiLevelType w:val="multilevel"/>
    <w:tmpl w:val="098A2CE7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0506E"/>
    <w:multiLevelType w:val="multilevel"/>
    <w:tmpl w:val="1200506E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F55D7"/>
    <w:multiLevelType w:val="multilevel"/>
    <w:tmpl w:val="166F55D7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12027"/>
    <w:multiLevelType w:val="multilevel"/>
    <w:tmpl w:val="17112027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D3635"/>
    <w:multiLevelType w:val="multilevel"/>
    <w:tmpl w:val="181D3635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202E3E"/>
    <w:multiLevelType w:val="multilevel"/>
    <w:tmpl w:val="1C202E3E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F251FF"/>
    <w:multiLevelType w:val="multilevel"/>
    <w:tmpl w:val="1EF251FF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F2C16"/>
    <w:multiLevelType w:val="multilevel"/>
    <w:tmpl w:val="1F5F2C16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5B6F77"/>
    <w:multiLevelType w:val="multilevel"/>
    <w:tmpl w:val="205B6F77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0C541E"/>
    <w:multiLevelType w:val="multilevel"/>
    <w:tmpl w:val="220C541E"/>
    <w:lvl w:ilvl="0" w:tentative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hint="default" w:ascii="Times New Roman" w:hAnsi="Times New Roman"/>
      </w:rPr>
    </w:lvl>
    <w:lvl w:ilvl="1" w:tentative="0">
      <w:start w:val="1"/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hint="default" w:ascii="Times New Roman" w:hAnsi="Times New Roman"/>
      </w:rPr>
    </w:lvl>
    <w:lvl w:ilvl="2" w:tentative="0">
      <w:start w:val="1"/>
      <w:numFmt w:val="bullet"/>
      <w:lvlText w:val="-"/>
      <w:lvlJc w:val="left"/>
      <w:pPr>
        <w:tabs>
          <w:tab w:val="left" w:pos="2160"/>
        </w:tabs>
        <w:ind w:left="2160" w:hanging="360"/>
      </w:pPr>
      <w:rPr>
        <w:rFonts w:hint="default" w:ascii="Times New Roman" w:hAnsi="Times New Roman"/>
      </w:rPr>
    </w:lvl>
    <w:lvl w:ilvl="3" w:tentative="0">
      <w:start w:val="1"/>
      <w:numFmt w:val="bullet"/>
      <w:lvlText w:val="-"/>
      <w:lvlJc w:val="left"/>
      <w:pPr>
        <w:tabs>
          <w:tab w:val="left" w:pos="2880"/>
        </w:tabs>
        <w:ind w:left="2880" w:hanging="360"/>
      </w:pPr>
      <w:rPr>
        <w:rFonts w:hint="default" w:ascii="Times New Roman" w:hAnsi="Times New Roman"/>
      </w:rPr>
    </w:lvl>
    <w:lvl w:ilvl="4" w:tentative="0">
      <w:start w:val="1"/>
      <w:numFmt w:val="bullet"/>
      <w:lvlText w:val="-"/>
      <w:lvlJc w:val="left"/>
      <w:pPr>
        <w:tabs>
          <w:tab w:val="left" w:pos="3600"/>
        </w:tabs>
        <w:ind w:left="3600" w:hanging="360"/>
      </w:pPr>
      <w:rPr>
        <w:rFonts w:hint="default" w:ascii="Times New Roman" w:hAnsi="Times New Roman"/>
      </w:rPr>
    </w:lvl>
    <w:lvl w:ilvl="5" w:tentative="0">
      <w:start w:val="1"/>
      <w:numFmt w:val="bullet"/>
      <w:lvlText w:val="-"/>
      <w:lvlJc w:val="left"/>
      <w:pPr>
        <w:tabs>
          <w:tab w:val="left" w:pos="4320"/>
        </w:tabs>
        <w:ind w:left="4320" w:hanging="360"/>
      </w:pPr>
      <w:rPr>
        <w:rFonts w:hint="default" w:ascii="Times New Roman" w:hAnsi="Times New Roman"/>
      </w:rPr>
    </w:lvl>
    <w:lvl w:ilvl="6" w:tentative="0">
      <w:start w:val="1"/>
      <w:numFmt w:val="bullet"/>
      <w:lvlText w:val="-"/>
      <w:lvlJc w:val="left"/>
      <w:pPr>
        <w:tabs>
          <w:tab w:val="left" w:pos="5040"/>
        </w:tabs>
        <w:ind w:left="5040" w:hanging="360"/>
      </w:pPr>
      <w:rPr>
        <w:rFonts w:hint="default" w:ascii="Times New Roman" w:hAnsi="Times New Roman"/>
      </w:rPr>
    </w:lvl>
    <w:lvl w:ilvl="7" w:tentative="0">
      <w:start w:val="1"/>
      <w:numFmt w:val="bullet"/>
      <w:lvlText w:val="-"/>
      <w:lvlJc w:val="left"/>
      <w:pPr>
        <w:tabs>
          <w:tab w:val="left" w:pos="5760"/>
        </w:tabs>
        <w:ind w:left="5760" w:hanging="360"/>
      </w:pPr>
      <w:rPr>
        <w:rFonts w:hint="default" w:ascii="Times New Roman" w:hAnsi="Times New Roman"/>
      </w:rPr>
    </w:lvl>
    <w:lvl w:ilvl="8" w:tentative="0">
      <w:start w:val="1"/>
      <w:numFmt w:val="bullet"/>
      <w:lvlText w:val="-"/>
      <w:lvlJc w:val="left"/>
      <w:pPr>
        <w:tabs>
          <w:tab w:val="left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12">
    <w:nsid w:val="2EF06810"/>
    <w:multiLevelType w:val="multilevel"/>
    <w:tmpl w:val="2EF06810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870E1F"/>
    <w:multiLevelType w:val="multilevel"/>
    <w:tmpl w:val="2F870E1F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95AFA"/>
    <w:multiLevelType w:val="multilevel"/>
    <w:tmpl w:val="38195AFA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464CDF"/>
    <w:multiLevelType w:val="multilevel"/>
    <w:tmpl w:val="3A464CDF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4A04E4"/>
    <w:multiLevelType w:val="multilevel"/>
    <w:tmpl w:val="3D4A04E4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F865B3"/>
    <w:multiLevelType w:val="multilevel"/>
    <w:tmpl w:val="3EF865B3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7432C0"/>
    <w:multiLevelType w:val="multilevel"/>
    <w:tmpl w:val="417432C0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772450"/>
    <w:multiLevelType w:val="multilevel"/>
    <w:tmpl w:val="41772450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2D7051"/>
    <w:multiLevelType w:val="multilevel"/>
    <w:tmpl w:val="422D7051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783A9A"/>
    <w:multiLevelType w:val="multilevel"/>
    <w:tmpl w:val="42783A9A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F8501D"/>
    <w:multiLevelType w:val="multilevel"/>
    <w:tmpl w:val="43F8501D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CA30A7"/>
    <w:multiLevelType w:val="multilevel"/>
    <w:tmpl w:val="44CA30A7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6751DA"/>
    <w:multiLevelType w:val="multilevel"/>
    <w:tmpl w:val="4C6751DA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A50ADC"/>
    <w:multiLevelType w:val="multilevel"/>
    <w:tmpl w:val="4CA50ADC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9409E9"/>
    <w:multiLevelType w:val="multilevel"/>
    <w:tmpl w:val="509409E9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C0110C"/>
    <w:multiLevelType w:val="multilevel"/>
    <w:tmpl w:val="54C0110C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375AEF"/>
    <w:multiLevelType w:val="multilevel"/>
    <w:tmpl w:val="5D375AEF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735E83"/>
    <w:multiLevelType w:val="multilevel"/>
    <w:tmpl w:val="60735E8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eastAsiaTheme="minorHAnsi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9320A3"/>
    <w:multiLevelType w:val="multilevel"/>
    <w:tmpl w:val="609320A3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0540F8"/>
    <w:multiLevelType w:val="multilevel"/>
    <w:tmpl w:val="610540F8"/>
    <w:lvl w:ilvl="0" w:tentative="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2">
    <w:nsid w:val="611B15FE"/>
    <w:multiLevelType w:val="multilevel"/>
    <w:tmpl w:val="611B15FE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A43A20"/>
    <w:multiLevelType w:val="multilevel"/>
    <w:tmpl w:val="64A43A20"/>
    <w:lvl w:ilvl="0" w:tentative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hint="default" w:ascii="Times New Roman" w:hAnsi="Times New Roman"/>
      </w:rPr>
    </w:lvl>
    <w:lvl w:ilvl="1" w:tentative="0">
      <w:start w:val="1"/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hint="default" w:ascii="Times New Roman" w:hAnsi="Times New Roman"/>
      </w:rPr>
    </w:lvl>
    <w:lvl w:ilvl="2" w:tentative="0">
      <w:start w:val="1"/>
      <w:numFmt w:val="bullet"/>
      <w:lvlText w:val="-"/>
      <w:lvlJc w:val="left"/>
      <w:pPr>
        <w:tabs>
          <w:tab w:val="left" w:pos="2160"/>
        </w:tabs>
        <w:ind w:left="2160" w:hanging="360"/>
      </w:pPr>
      <w:rPr>
        <w:rFonts w:hint="default" w:ascii="Times New Roman" w:hAnsi="Times New Roman"/>
      </w:rPr>
    </w:lvl>
    <w:lvl w:ilvl="3" w:tentative="0">
      <w:start w:val="1"/>
      <w:numFmt w:val="bullet"/>
      <w:lvlText w:val="-"/>
      <w:lvlJc w:val="left"/>
      <w:pPr>
        <w:tabs>
          <w:tab w:val="left" w:pos="2880"/>
        </w:tabs>
        <w:ind w:left="2880" w:hanging="360"/>
      </w:pPr>
      <w:rPr>
        <w:rFonts w:hint="default" w:ascii="Times New Roman" w:hAnsi="Times New Roman"/>
      </w:rPr>
    </w:lvl>
    <w:lvl w:ilvl="4" w:tentative="0">
      <w:start w:val="1"/>
      <w:numFmt w:val="bullet"/>
      <w:lvlText w:val="-"/>
      <w:lvlJc w:val="left"/>
      <w:pPr>
        <w:tabs>
          <w:tab w:val="left" w:pos="3600"/>
        </w:tabs>
        <w:ind w:left="3600" w:hanging="360"/>
      </w:pPr>
      <w:rPr>
        <w:rFonts w:hint="default" w:ascii="Times New Roman" w:hAnsi="Times New Roman"/>
      </w:rPr>
    </w:lvl>
    <w:lvl w:ilvl="5" w:tentative="0">
      <w:start w:val="1"/>
      <w:numFmt w:val="bullet"/>
      <w:lvlText w:val="-"/>
      <w:lvlJc w:val="left"/>
      <w:pPr>
        <w:tabs>
          <w:tab w:val="left" w:pos="4320"/>
        </w:tabs>
        <w:ind w:left="4320" w:hanging="360"/>
      </w:pPr>
      <w:rPr>
        <w:rFonts w:hint="default" w:ascii="Times New Roman" w:hAnsi="Times New Roman"/>
      </w:rPr>
    </w:lvl>
    <w:lvl w:ilvl="6" w:tentative="0">
      <w:start w:val="1"/>
      <w:numFmt w:val="bullet"/>
      <w:lvlText w:val="-"/>
      <w:lvlJc w:val="left"/>
      <w:pPr>
        <w:tabs>
          <w:tab w:val="left" w:pos="5040"/>
        </w:tabs>
        <w:ind w:left="5040" w:hanging="360"/>
      </w:pPr>
      <w:rPr>
        <w:rFonts w:hint="default" w:ascii="Times New Roman" w:hAnsi="Times New Roman"/>
      </w:rPr>
    </w:lvl>
    <w:lvl w:ilvl="7" w:tentative="0">
      <w:start w:val="1"/>
      <w:numFmt w:val="bullet"/>
      <w:lvlText w:val="-"/>
      <w:lvlJc w:val="left"/>
      <w:pPr>
        <w:tabs>
          <w:tab w:val="left" w:pos="5760"/>
        </w:tabs>
        <w:ind w:left="5760" w:hanging="360"/>
      </w:pPr>
      <w:rPr>
        <w:rFonts w:hint="default" w:ascii="Times New Roman" w:hAnsi="Times New Roman"/>
      </w:rPr>
    </w:lvl>
    <w:lvl w:ilvl="8" w:tentative="0">
      <w:start w:val="1"/>
      <w:numFmt w:val="bullet"/>
      <w:lvlText w:val="-"/>
      <w:lvlJc w:val="left"/>
      <w:pPr>
        <w:tabs>
          <w:tab w:val="left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34">
    <w:nsid w:val="67765589"/>
    <w:multiLevelType w:val="multilevel"/>
    <w:tmpl w:val="67765589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890C54"/>
    <w:multiLevelType w:val="multilevel"/>
    <w:tmpl w:val="68890C54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6C3973"/>
    <w:multiLevelType w:val="multilevel"/>
    <w:tmpl w:val="706C3973"/>
    <w:lvl w:ilvl="0" w:tentative="0">
      <w:start w:val="1"/>
      <w:numFmt w:val="decimal"/>
      <w:lvlText w:val="8.%1."/>
      <w:lvlJc w:val="left"/>
      <w:pPr>
        <w:tabs>
          <w:tab w:val="left" w:pos="720"/>
        </w:tabs>
        <w:ind w:left="720" w:hanging="360"/>
      </w:pPr>
      <w:rPr>
        <w:rFonts w:hint="default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37">
    <w:nsid w:val="71CA1DB2"/>
    <w:multiLevelType w:val="multilevel"/>
    <w:tmpl w:val="71CA1DB2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C25445"/>
    <w:multiLevelType w:val="multilevel"/>
    <w:tmpl w:val="75C25445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155F83"/>
    <w:multiLevelType w:val="multilevel"/>
    <w:tmpl w:val="76155F83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21306F"/>
    <w:multiLevelType w:val="multilevel"/>
    <w:tmpl w:val="7621306F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003099"/>
    <w:multiLevelType w:val="multilevel"/>
    <w:tmpl w:val="7A003099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7021DD"/>
    <w:multiLevelType w:val="multilevel"/>
    <w:tmpl w:val="7C7021DD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2C3E93"/>
    <w:multiLevelType w:val="multilevel"/>
    <w:tmpl w:val="7E2C3E93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572B56"/>
    <w:multiLevelType w:val="multilevel"/>
    <w:tmpl w:val="7E572B56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8604A4"/>
    <w:multiLevelType w:val="multilevel"/>
    <w:tmpl w:val="7F8604A4"/>
    <w:lvl w:ilvl="0" w:tentative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1"/>
  </w:num>
  <w:num w:numId="3">
    <w:abstractNumId w:val="33"/>
  </w:num>
  <w:num w:numId="4">
    <w:abstractNumId w:val="27"/>
  </w:num>
  <w:num w:numId="5">
    <w:abstractNumId w:val="20"/>
  </w:num>
  <w:num w:numId="6">
    <w:abstractNumId w:val="14"/>
  </w:num>
  <w:num w:numId="7">
    <w:abstractNumId w:val="17"/>
  </w:num>
  <w:num w:numId="8">
    <w:abstractNumId w:val="22"/>
  </w:num>
  <w:num w:numId="9">
    <w:abstractNumId w:val="13"/>
  </w:num>
  <w:num w:numId="10">
    <w:abstractNumId w:val="26"/>
  </w:num>
  <w:num w:numId="11">
    <w:abstractNumId w:val="12"/>
  </w:num>
  <w:num w:numId="12">
    <w:abstractNumId w:val="8"/>
  </w:num>
  <w:num w:numId="13">
    <w:abstractNumId w:val="40"/>
  </w:num>
  <w:num w:numId="14">
    <w:abstractNumId w:val="39"/>
  </w:num>
  <w:num w:numId="15">
    <w:abstractNumId w:val="38"/>
  </w:num>
  <w:num w:numId="16">
    <w:abstractNumId w:val="35"/>
  </w:num>
  <w:num w:numId="17">
    <w:abstractNumId w:val="45"/>
  </w:num>
  <w:num w:numId="18">
    <w:abstractNumId w:val="7"/>
  </w:num>
  <w:num w:numId="19">
    <w:abstractNumId w:val="32"/>
  </w:num>
  <w:num w:numId="20">
    <w:abstractNumId w:val="43"/>
  </w:num>
  <w:num w:numId="21">
    <w:abstractNumId w:val="30"/>
  </w:num>
  <w:num w:numId="22">
    <w:abstractNumId w:val="18"/>
  </w:num>
  <w:num w:numId="23">
    <w:abstractNumId w:val="2"/>
  </w:num>
  <w:num w:numId="24">
    <w:abstractNumId w:val="21"/>
  </w:num>
  <w:num w:numId="25">
    <w:abstractNumId w:val="41"/>
  </w:num>
  <w:num w:numId="26">
    <w:abstractNumId w:val="42"/>
  </w:num>
  <w:num w:numId="27">
    <w:abstractNumId w:val="16"/>
  </w:num>
  <w:num w:numId="28">
    <w:abstractNumId w:val="44"/>
  </w:num>
  <w:num w:numId="29">
    <w:abstractNumId w:val="6"/>
  </w:num>
  <w:num w:numId="30">
    <w:abstractNumId w:val="10"/>
  </w:num>
  <w:num w:numId="31">
    <w:abstractNumId w:val="19"/>
  </w:num>
  <w:num w:numId="32">
    <w:abstractNumId w:val="15"/>
  </w:num>
  <w:num w:numId="33">
    <w:abstractNumId w:val="4"/>
  </w:num>
  <w:num w:numId="34">
    <w:abstractNumId w:val="34"/>
  </w:num>
  <w:num w:numId="35">
    <w:abstractNumId w:val="0"/>
  </w:num>
  <w:num w:numId="36">
    <w:abstractNumId w:val="3"/>
  </w:num>
  <w:num w:numId="37">
    <w:abstractNumId w:val="9"/>
  </w:num>
  <w:num w:numId="38">
    <w:abstractNumId w:val="23"/>
  </w:num>
  <w:num w:numId="39">
    <w:abstractNumId w:val="28"/>
  </w:num>
  <w:num w:numId="40">
    <w:abstractNumId w:val="1"/>
  </w:num>
  <w:num w:numId="41">
    <w:abstractNumId w:val="37"/>
  </w:num>
  <w:num w:numId="42">
    <w:abstractNumId w:val="5"/>
  </w:num>
  <w:num w:numId="43">
    <w:abstractNumId w:val="25"/>
  </w:num>
  <w:num w:numId="44">
    <w:abstractNumId w:val="31"/>
  </w:num>
  <w:num w:numId="45">
    <w:abstractNumId w:val="29"/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2"/>
    <w:footnote w:id="3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438"/>
    <w:rsid w:val="00000312"/>
    <w:rsid w:val="00012711"/>
    <w:rsid w:val="000131C7"/>
    <w:rsid w:val="00020A30"/>
    <w:rsid w:val="00030920"/>
    <w:rsid w:val="00031884"/>
    <w:rsid w:val="000341B1"/>
    <w:rsid w:val="00036DA4"/>
    <w:rsid w:val="00046605"/>
    <w:rsid w:val="00050C03"/>
    <w:rsid w:val="00054D5D"/>
    <w:rsid w:val="000556F3"/>
    <w:rsid w:val="000609FA"/>
    <w:rsid w:val="000645AB"/>
    <w:rsid w:val="000738B5"/>
    <w:rsid w:val="0007773B"/>
    <w:rsid w:val="00080ADC"/>
    <w:rsid w:val="0008174B"/>
    <w:rsid w:val="00096B90"/>
    <w:rsid w:val="000A1C07"/>
    <w:rsid w:val="000A6582"/>
    <w:rsid w:val="000A6807"/>
    <w:rsid w:val="000B6378"/>
    <w:rsid w:val="000C4EFC"/>
    <w:rsid w:val="000C690A"/>
    <w:rsid w:val="000D3BA7"/>
    <w:rsid w:val="000D5443"/>
    <w:rsid w:val="000D57DA"/>
    <w:rsid w:val="000D6B2C"/>
    <w:rsid w:val="000E7BB0"/>
    <w:rsid w:val="000F1C0C"/>
    <w:rsid w:val="000F2D13"/>
    <w:rsid w:val="000F60A9"/>
    <w:rsid w:val="00104EDD"/>
    <w:rsid w:val="00105452"/>
    <w:rsid w:val="00105A69"/>
    <w:rsid w:val="0010767D"/>
    <w:rsid w:val="00111320"/>
    <w:rsid w:val="001126B2"/>
    <w:rsid w:val="00117469"/>
    <w:rsid w:val="0011750E"/>
    <w:rsid w:val="001210D3"/>
    <w:rsid w:val="001245DA"/>
    <w:rsid w:val="001248EA"/>
    <w:rsid w:val="00136934"/>
    <w:rsid w:val="001438F0"/>
    <w:rsid w:val="001469D8"/>
    <w:rsid w:val="00147C3E"/>
    <w:rsid w:val="0016630B"/>
    <w:rsid w:val="00167441"/>
    <w:rsid w:val="00180495"/>
    <w:rsid w:val="001817BC"/>
    <w:rsid w:val="001847C6"/>
    <w:rsid w:val="00197ADE"/>
    <w:rsid w:val="001A022E"/>
    <w:rsid w:val="001A0DE2"/>
    <w:rsid w:val="001A439B"/>
    <w:rsid w:val="001A7E24"/>
    <w:rsid w:val="001C7D7D"/>
    <w:rsid w:val="001D2457"/>
    <w:rsid w:val="001D55E7"/>
    <w:rsid w:val="001D74EF"/>
    <w:rsid w:val="001E37FD"/>
    <w:rsid w:val="001E51DE"/>
    <w:rsid w:val="001F4EFA"/>
    <w:rsid w:val="001F735E"/>
    <w:rsid w:val="00204B15"/>
    <w:rsid w:val="00211EF1"/>
    <w:rsid w:val="0021470D"/>
    <w:rsid w:val="0021490C"/>
    <w:rsid w:val="00215812"/>
    <w:rsid w:val="00215FCF"/>
    <w:rsid w:val="002203C5"/>
    <w:rsid w:val="0023151C"/>
    <w:rsid w:val="00233629"/>
    <w:rsid w:val="002377B1"/>
    <w:rsid w:val="002378A0"/>
    <w:rsid w:val="00253ABA"/>
    <w:rsid w:val="00266CC4"/>
    <w:rsid w:val="002708F7"/>
    <w:rsid w:val="002715E3"/>
    <w:rsid w:val="00273421"/>
    <w:rsid w:val="0028653F"/>
    <w:rsid w:val="002923C4"/>
    <w:rsid w:val="002929D4"/>
    <w:rsid w:val="00293199"/>
    <w:rsid w:val="00293C84"/>
    <w:rsid w:val="002A20DA"/>
    <w:rsid w:val="002A2EC8"/>
    <w:rsid w:val="002B0BDB"/>
    <w:rsid w:val="002B3C66"/>
    <w:rsid w:val="002D0E7C"/>
    <w:rsid w:val="002D2109"/>
    <w:rsid w:val="002D23D9"/>
    <w:rsid w:val="002D3884"/>
    <w:rsid w:val="002E5357"/>
    <w:rsid w:val="002E6F0A"/>
    <w:rsid w:val="00302763"/>
    <w:rsid w:val="00305352"/>
    <w:rsid w:val="003064D6"/>
    <w:rsid w:val="00311565"/>
    <w:rsid w:val="0031210E"/>
    <w:rsid w:val="00315946"/>
    <w:rsid w:val="003203EA"/>
    <w:rsid w:val="00323D41"/>
    <w:rsid w:val="003244BD"/>
    <w:rsid w:val="00327CA5"/>
    <w:rsid w:val="00330175"/>
    <w:rsid w:val="00332E5C"/>
    <w:rsid w:val="00345DB9"/>
    <w:rsid w:val="00353FBD"/>
    <w:rsid w:val="00360C21"/>
    <w:rsid w:val="00363EBA"/>
    <w:rsid w:val="003641F6"/>
    <w:rsid w:val="003645B8"/>
    <w:rsid w:val="00371A01"/>
    <w:rsid w:val="00380CA9"/>
    <w:rsid w:val="003811E5"/>
    <w:rsid w:val="003838DC"/>
    <w:rsid w:val="003855D9"/>
    <w:rsid w:val="00387017"/>
    <w:rsid w:val="0039056D"/>
    <w:rsid w:val="00390879"/>
    <w:rsid w:val="003951ED"/>
    <w:rsid w:val="003B17B8"/>
    <w:rsid w:val="003B4101"/>
    <w:rsid w:val="003C18CC"/>
    <w:rsid w:val="003C3BDA"/>
    <w:rsid w:val="003D414E"/>
    <w:rsid w:val="003D426F"/>
    <w:rsid w:val="003E15A7"/>
    <w:rsid w:val="003E5FDC"/>
    <w:rsid w:val="003F0123"/>
    <w:rsid w:val="003F1C9A"/>
    <w:rsid w:val="003F2710"/>
    <w:rsid w:val="0040025B"/>
    <w:rsid w:val="00402B57"/>
    <w:rsid w:val="00403A8F"/>
    <w:rsid w:val="00405FC8"/>
    <w:rsid w:val="004064EA"/>
    <w:rsid w:val="00411341"/>
    <w:rsid w:val="004120CF"/>
    <w:rsid w:val="00414994"/>
    <w:rsid w:val="00414C88"/>
    <w:rsid w:val="004174D2"/>
    <w:rsid w:val="00422A24"/>
    <w:rsid w:val="004244CB"/>
    <w:rsid w:val="00425510"/>
    <w:rsid w:val="00431F6E"/>
    <w:rsid w:val="00437571"/>
    <w:rsid w:val="00441050"/>
    <w:rsid w:val="0044225D"/>
    <w:rsid w:val="00442427"/>
    <w:rsid w:val="004548B9"/>
    <w:rsid w:val="00455A96"/>
    <w:rsid w:val="004640CF"/>
    <w:rsid w:val="00465646"/>
    <w:rsid w:val="00470B68"/>
    <w:rsid w:val="004717B9"/>
    <w:rsid w:val="004744B2"/>
    <w:rsid w:val="00490009"/>
    <w:rsid w:val="0049041B"/>
    <w:rsid w:val="0049475B"/>
    <w:rsid w:val="004A6020"/>
    <w:rsid w:val="004B3007"/>
    <w:rsid w:val="004B47B9"/>
    <w:rsid w:val="004B6805"/>
    <w:rsid w:val="004B7218"/>
    <w:rsid w:val="004B743F"/>
    <w:rsid w:val="004C5113"/>
    <w:rsid w:val="004D7E56"/>
    <w:rsid w:val="004E3625"/>
    <w:rsid w:val="004F3351"/>
    <w:rsid w:val="004F3500"/>
    <w:rsid w:val="005022E1"/>
    <w:rsid w:val="00505AA0"/>
    <w:rsid w:val="0050710D"/>
    <w:rsid w:val="00516B90"/>
    <w:rsid w:val="00534016"/>
    <w:rsid w:val="005350EB"/>
    <w:rsid w:val="00562E15"/>
    <w:rsid w:val="0057162B"/>
    <w:rsid w:val="00572835"/>
    <w:rsid w:val="00583920"/>
    <w:rsid w:val="00585CD5"/>
    <w:rsid w:val="005906E2"/>
    <w:rsid w:val="0059475B"/>
    <w:rsid w:val="005A1E39"/>
    <w:rsid w:val="005A452A"/>
    <w:rsid w:val="005A6828"/>
    <w:rsid w:val="005B018A"/>
    <w:rsid w:val="005B211F"/>
    <w:rsid w:val="005B4581"/>
    <w:rsid w:val="005B45F4"/>
    <w:rsid w:val="005C20C0"/>
    <w:rsid w:val="005C30B9"/>
    <w:rsid w:val="005D2AB8"/>
    <w:rsid w:val="005D2C7A"/>
    <w:rsid w:val="005E06BA"/>
    <w:rsid w:val="005F0D72"/>
    <w:rsid w:val="005F3816"/>
    <w:rsid w:val="00606EF7"/>
    <w:rsid w:val="00612B73"/>
    <w:rsid w:val="00614FE7"/>
    <w:rsid w:val="00616763"/>
    <w:rsid w:val="0062299A"/>
    <w:rsid w:val="0062316B"/>
    <w:rsid w:val="0062747A"/>
    <w:rsid w:val="006325E0"/>
    <w:rsid w:val="00635584"/>
    <w:rsid w:val="00637C81"/>
    <w:rsid w:val="00642ED0"/>
    <w:rsid w:val="00645199"/>
    <w:rsid w:val="00647460"/>
    <w:rsid w:val="006628CE"/>
    <w:rsid w:val="006664CE"/>
    <w:rsid w:val="00666CB5"/>
    <w:rsid w:val="00670211"/>
    <w:rsid w:val="00682CA9"/>
    <w:rsid w:val="006842E4"/>
    <w:rsid w:val="0068556A"/>
    <w:rsid w:val="00685EB1"/>
    <w:rsid w:val="00685F4F"/>
    <w:rsid w:val="006A0D8D"/>
    <w:rsid w:val="006A78D4"/>
    <w:rsid w:val="006B52B2"/>
    <w:rsid w:val="006B5C78"/>
    <w:rsid w:val="006B7C02"/>
    <w:rsid w:val="006D4544"/>
    <w:rsid w:val="006D73F2"/>
    <w:rsid w:val="006E381C"/>
    <w:rsid w:val="006F08D7"/>
    <w:rsid w:val="006F5F9F"/>
    <w:rsid w:val="006F6188"/>
    <w:rsid w:val="00705076"/>
    <w:rsid w:val="00705F27"/>
    <w:rsid w:val="0071206C"/>
    <w:rsid w:val="00713DB0"/>
    <w:rsid w:val="00714E1C"/>
    <w:rsid w:val="00717601"/>
    <w:rsid w:val="00720B9C"/>
    <w:rsid w:val="00727121"/>
    <w:rsid w:val="0073084C"/>
    <w:rsid w:val="00731893"/>
    <w:rsid w:val="00737052"/>
    <w:rsid w:val="00745576"/>
    <w:rsid w:val="00754248"/>
    <w:rsid w:val="00762992"/>
    <w:rsid w:val="00763131"/>
    <w:rsid w:val="007641FD"/>
    <w:rsid w:val="00766F09"/>
    <w:rsid w:val="007679D4"/>
    <w:rsid w:val="00771A8D"/>
    <w:rsid w:val="007819A2"/>
    <w:rsid w:val="00783584"/>
    <w:rsid w:val="00793591"/>
    <w:rsid w:val="007A3DBF"/>
    <w:rsid w:val="007A3E7B"/>
    <w:rsid w:val="007A7AC4"/>
    <w:rsid w:val="007B1F33"/>
    <w:rsid w:val="007C0487"/>
    <w:rsid w:val="007C4E96"/>
    <w:rsid w:val="007C6572"/>
    <w:rsid w:val="007D029E"/>
    <w:rsid w:val="007D20C4"/>
    <w:rsid w:val="007D3C0C"/>
    <w:rsid w:val="007D7E35"/>
    <w:rsid w:val="007E57C9"/>
    <w:rsid w:val="007E6B2E"/>
    <w:rsid w:val="007E70E0"/>
    <w:rsid w:val="007F2D05"/>
    <w:rsid w:val="00800984"/>
    <w:rsid w:val="00801556"/>
    <w:rsid w:val="0080295F"/>
    <w:rsid w:val="008032AD"/>
    <w:rsid w:val="008047E7"/>
    <w:rsid w:val="00807253"/>
    <w:rsid w:val="00814D57"/>
    <w:rsid w:val="008161C9"/>
    <w:rsid w:val="008211F3"/>
    <w:rsid w:val="00825DEC"/>
    <w:rsid w:val="0084212E"/>
    <w:rsid w:val="00843350"/>
    <w:rsid w:val="008523CC"/>
    <w:rsid w:val="00855CAA"/>
    <w:rsid w:val="00856C2F"/>
    <w:rsid w:val="00857735"/>
    <w:rsid w:val="00867127"/>
    <w:rsid w:val="00867297"/>
    <w:rsid w:val="00867D43"/>
    <w:rsid w:val="0087212C"/>
    <w:rsid w:val="008751D2"/>
    <w:rsid w:val="00881398"/>
    <w:rsid w:val="00883778"/>
    <w:rsid w:val="00885D90"/>
    <w:rsid w:val="008937EE"/>
    <w:rsid w:val="00893FD8"/>
    <w:rsid w:val="00896AC1"/>
    <w:rsid w:val="008A02A8"/>
    <w:rsid w:val="008A3413"/>
    <w:rsid w:val="008A44EB"/>
    <w:rsid w:val="008A7791"/>
    <w:rsid w:val="008B03CA"/>
    <w:rsid w:val="008B1536"/>
    <w:rsid w:val="008B1645"/>
    <w:rsid w:val="008B3619"/>
    <w:rsid w:val="008C05F6"/>
    <w:rsid w:val="008D10A5"/>
    <w:rsid w:val="008D6BE7"/>
    <w:rsid w:val="008D7110"/>
    <w:rsid w:val="008D78B0"/>
    <w:rsid w:val="008E089B"/>
    <w:rsid w:val="008E55F4"/>
    <w:rsid w:val="008F1FF6"/>
    <w:rsid w:val="008F2E41"/>
    <w:rsid w:val="008F58F8"/>
    <w:rsid w:val="008F5A22"/>
    <w:rsid w:val="008F6EDA"/>
    <w:rsid w:val="008F726D"/>
    <w:rsid w:val="00906F10"/>
    <w:rsid w:val="00907D4A"/>
    <w:rsid w:val="00917693"/>
    <w:rsid w:val="00922335"/>
    <w:rsid w:val="00923F87"/>
    <w:rsid w:val="00927291"/>
    <w:rsid w:val="0094045A"/>
    <w:rsid w:val="0094074D"/>
    <w:rsid w:val="00944216"/>
    <w:rsid w:val="009478BD"/>
    <w:rsid w:val="00962CEF"/>
    <w:rsid w:val="00963859"/>
    <w:rsid w:val="00967DCD"/>
    <w:rsid w:val="00970438"/>
    <w:rsid w:val="00975234"/>
    <w:rsid w:val="00975AC8"/>
    <w:rsid w:val="009761B4"/>
    <w:rsid w:val="00977ED8"/>
    <w:rsid w:val="00982F09"/>
    <w:rsid w:val="00982F2B"/>
    <w:rsid w:val="00990452"/>
    <w:rsid w:val="009972A4"/>
    <w:rsid w:val="009A2BE4"/>
    <w:rsid w:val="009A4268"/>
    <w:rsid w:val="009A5503"/>
    <w:rsid w:val="009B1C28"/>
    <w:rsid w:val="009B4552"/>
    <w:rsid w:val="009B661A"/>
    <w:rsid w:val="009B7C2F"/>
    <w:rsid w:val="009C2FC8"/>
    <w:rsid w:val="009C2FD9"/>
    <w:rsid w:val="009C334B"/>
    <w:rsid w:val="009D432B"/>
    <w:rsid w:val="009D5A6C"/>
    <w:rsid w:val="009E1132"/>
    <w:rsid w:val="009E36AD"/>
    <w:rsid w:val="009E4565"/>
    <w:rsid w:val="00A12B61"/>
    <w:rsid w:val="00A12D9F"/>
    <w:rsid w:val="00A14DC2"/>
    <w:rsid w:val="00A15AEB"/>
    <w:rsid w:val="00A21CF0"/>
    <w:rsid w:val="00A25433"/>
    <w:rsid w:val="00A2768E"/>
    <w:rsid w:val="00A3106D"/>
    <w:rsid w:val="00A31CCE"/>
    <w:rsid w:val="00A40DF1"/>
    <w:rsid w:val="00A45814"/>
    <w:rsid w:val="00A54402"/>
    <w:rsid w:val="00A57986"/>
    <w:rsid w:val="00A60661"/>
    <w:rsid w:val="00A619C0"/>
    <w:rsid w:val="00A63202"/>
    <w:rsid w:val="00A64B2E"/>
    <w:rsid w:val="00A64F41"/>
    <w:rsid w:val="00A669CD"/>
    <w:rsid w:val="00A706DB"/>
    <w:rsid w:val="00A70885"/>
    <w:rsid w:val="00A741B8"/>
    <w:rsid w:val="00A7421F"/>
    <w:rsid w:val="00A74950"/>
    <w:rsid w:val="00A76AE2"/>
    <w:rsid w:val="00A76E72"/>
    <w:rsid w:val="00A8235D"/>
    <w:rsid w:val="00A836EF"/>
    <w:rsid w:val="00A8414D"/>
    <w:rsid w:val="00A92373"/>
    <w:rsid w:val="00AA18D4"/>
    <w:rsid w:val="00AA3603"/>
    <w:rsid w:val="00AB27BE"/>
    <w:rsid w:val="00AB347F"/>
    <w:rsid w:val="00AB3681"/>
    <w:rsid w:val="00AB5028"/>
    <w:rsid w:val="00AB7058"/>
    <w:rsid w:val="00AC0144"/>
    <w:rsid w:val="00AC1E19"/>
    <w:rsid w:val="00AC77AD"/>
    <w:rsid w:val="00AD3053"/>
    <w:rsid w:val="00AD3468"/>
    <w:rsid w:val="00AD730E"/>
    <w:rsid w:val="00AE283C"/>
    <w:rsid w:val="00AE2E91"/>
    <w:rsid w:val="00AF0B12"/>
    <w:rsid w:val="00AF2F02"/>
    <w:rsid w:val="00AF56D8"/>
    <w:rsid w:val="00B06410"/>
    <w:rsid w:val="00B145B3"/>
    <w:rsid w:val="00B16AA4"/>
    <w:rsid w:val="00B24281"/>
    <w:rsid w:val="00B24756"/>
    <w:rsid w:val="00B473C4"/>
    <w:rsid w:val="00B501D8"/>
    <w:rsid w:val="00B51DE8"/>
    <w:rsid w:val="00B51F99"/>
    <w:rsid w:val="00B54F0A"/>
    <w:rsid w:val="00B56B32"/>
    <w:rsid w:val="00B60159"/>
    <w:rsid w:val="00B7128D"/>
    <w:rsid w:val="00B764A2"/>
    <w:rsid w:val="00B81CDE"/>
    <w:rsid w:val="00B83487"/>
    <w:rsid w:val="00B92178"/>
    <w:rsid w:val="00B932C4"/>
    <w:rsid w:val="00B943BD"/>
    <w:rsid w:val="00B94489"/>
    <w:rsid w:val="00BA347C"/>
    <w:rsid w:val="00BA638E"/>
    <w:rsid w:val="00BB0AED"/>
    <w:rsid w:val="00BC2636"/>
    <w:rsid w:val="00BC2A5D"/>
    <w:rsid w:val="00BC3F97"/>
    <w:rsid w:val="00BC4272"/>
    <w:rsid w:val="00BC6635"/>
    <w:rsid w:val="00BD1F39"/>
    <w:rsid w:val="00BE659B"/>
    <w:rsid w:val="00BE7EB8"/>
    <w:rsid w:val="00BF3FD3"/>
    <w:rsid w:val="00BF4C00"/>
    <w:rsid w:val="00BF5BE8"/>
    <w:rsid w:val="00BF60ED"/>
    <w:rsid w:val="00C004D7"/>
    <w:rsid w:val="00C03181"/>
    <w:rsid w:val="00C04179"/>
    <w:rsid w:val="00C10B8C"/>
    <w:rsid w:val="00C1117A"/>
    <w:rsid w:val="00C137AE"/>
    <w:rsid w:val="00C26C2F"/>
    <w:rsid w:val="00C301B0"/>
    <w:rsid w:val="00C317DC"/>
    <w:rsid w:val="00C319C6"/>
    <w:rsid w:val="00C33CC7"/>
    <w:rsid w:val="00C36DB2"/>
    <w:rsid w:val="00C43A08"/>
    <w:rsid w:val="00C45E1C"/>
    <w:rsid w:val="00C469E6"/>
    <w:rsid w:val="00C501B0"/>
    <w:rsid w:val="00C565ED"/>
    <w:rsid w:val="00C81871"/>
    <w:rsid w:val="00C85265"/>
    <w:rsid w:val="00C87764"/>
    <w:rsid w:val="00C94735"/>
    <w:rsid w:val="00CA23F2"/>
    <w:rsid w:val="00CA65A2"/>
    <w:rsid w:val="00CA6B6D"/>
    <w:rsid w:val="00CD6B37"/>
    <w:rsid w:val="00CD77C7"/>
    <w:rsid w:val="00CE40F7"/>
    <w:rsid w:val="00CE523B"/>
    <w:rsid w:val="00CF5BDA"/>
    <w:rsid w:val="00CF75AD"/>
    <w:rsid w:val="00D04AC5"/>
    <w:rsid w:val="00D0523B"/>
    <w:rsid w:val="00D068B1"/>
    <w:rsid w:val="00D076B0"/>
    <w:rsid w:val="00D12044"/>
    <w:rsid w:val="00D209DE"/>
    <w:rsid w:val="00D30093"/>
    <w:rsid w:val="00D33973"/>
    <w:rsid w:val="00D33CC0"/>
    <w:rsid w:val="00D34C5A"/>
    <w:rsid w:val="00D367F8"/>
    <w:rsid w:val="00D36B0E"/>
    <w:rsid w:val="00D40A63"/>
    <w:rsid w:val="00D438A3"/>
    <w:rsid w:val="00D4590B"/>
    <w:rsid w:val="00D46562"/>
    <w:rsid w:val="00D46E74"/>
    <w:rsid w:val="00D471CC"/>
    <w:rsid w:val="00D53261"/>
    <w:rsid w:val="00D54B90"/>
    <w:rsid w:val="00D571ED"/>
    <w:rsid w:val="00D60A59"/>
    <w:rsid w:val="00D60F79"/>
    <w:rsid w:val="00D67603"/>
    <w:rsid w:val="00D71A83"/>
    <w:rsid w:val="00D86A8B"/>
    <w:rsid w:val="00D905A3"/>
    <w:rsid w:val="00D97904"/>
    <w:rsid w:val="00DA294A"/>
    <w:rsid w:val="00DA40FF"/>
    <w:rsid w:val="00DB2F84"/>
    <w:rsid w:val="00DB32AB"/>
    <w:rsid w:val="00DB6976"/>
    <w:rsid w:val="00DE106F"/>
    <w:rsid w:val="00DE3D93"/>
    <w:rsid w:val="00DE3DB8"/>
    <w:rsid w:val="00DE41B9"/>
    <w:rsid w:val="00DE5D2B"/>
    <w:rsid w:val="00DE7F04"/>
    <w:rsid w:val="00DF00AA"/>
    <w:rsid w:val="00DF37C6"/>
    <w:rsid w:val="00DF5B46"/>
    <w:rsid w:val="00DF5B94"/>
    <w:rsid w:val="00DF74AF"/>
    <w:rsid w:val="00E03E7B"/>
    <w:rsid w:val="00E06D59"/>
    <w:rsid w:val="00E15130"/>
    <w:rsid w:val="00E3088F"/>
    <w:rsid w:val="00E44893"/>
    <w:rsid w:val="00E44ED7"/>
    <w:rsid w:val="00E51276"/>
    <w:rsid w:val="00E6034E"/>
    <w:rsid w:val="00E6105A"/>
    <w:rsid w:val="00E6477A"/>
    <w:rsid w:val="00E72A9B"/>
    <w:rsid w:val="00E86E15"/>
    <w:rsid w:val="00E91A60"/>
    <w:rsid w:val="00E95896"/>
    <w:rsid w:val="00E96CDD"/>
    <w:rsid w:val="00EA3A56"/>
    <w:rsid w:val="00EA5F56"/>
    <w:rsid w:val="00EC03FD"/>
    <w:rsid w:val="00EC1498"/>
    <w:rsid w:val="00EC7DD2"/>
    <w:rsid w:val="00ED1A61"/>
    <w:rsid w:val="00ED4355"/>
    <w:rsid w:val="00ED4DD1"/>
    <w:rsid w:val="00ED5143"/>
    <w:rsid w:val="00ED6BE2"/>
    <w:rsid w:val="00ED7F9F"/>
    <w:rsid w:val="00EE73C0"/>
    <w:rsid w:val="00EF0752"/>
    <w:rsid w:val="00EF759F"/>
    <w:rsid w:val="00F0482B"/>
    <w:rsid w:val="00F104CD"/>
    <w:rsid w:val="00F120D6"/>
    <w:rsid w:val="00F12B62"/>
    <w:rsid w:val="00F2208E"/>
    <w:rsid w:val="00F234DE"/>
    <w:rsid w:val="00F276FB"/>
    <w:rsid w:val="00F322EA"/>
    <w:rsid w:val="00F366B6"/>
    <w:rsid w:val="00F40944"/>
    <w:rsid w:val="00F40F4F"/>
    <w:rsid w:val="00F411C9"/>
    <w:rsid w:val="00F440AB"/>
    <w:rsid w:val="00F46E1D"/>
    <w:rsid w:val="00F50569"/>
    <w:rsid w:val="00F50BF0"/>
    <w:rsid w:val="00F51807"/>
    <w:rsid w:val="00F70B70"/>
    <w:rsid w:val="00F72251"/>
    <w:rsid w:val="00F7367E"/>
    <w:rsid w:val="00F84BDC"/>
    <w:rsid w:val="00F867F0"/>
    <w:rsid w:val="00FA0846"/>
    <w:rsid w:val="00FB0DCA"/>
    <w:rsid w:val="00FC1F45"/>
    <w:rsid w:val="00FC3010"/>
    <w:rsid w:val="00FC343D"/>
    <w:rsid w:val="00FC7562"/>
    <w:rsid w:val="00FD0AE1"/>
    <w:rsid w:val="00FD316A"/>
    <w:rsid w:val="00FE2259"/>
    <w:rsid w:val="00FE23B8"/>
    <w:rsid w:val="00FE2703"/>
    <w:rsid w:val="00FE2A88"/>
    <w:rsid w:val="00FE43AB"/>
    <w:rsid w:val="00FE4684"/>
    <w:rsid w:val="00FF2CF7"/>
    <w:rsid w:val="50C8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nhideWhenUsed="0" w:uiPriority="0" w:semiHidden="0" w:name="heading 2" w:locked="1"/>
    <w:lsdException w:qFormat="1" w:unhideWhenUsed="0" w:uiPriority="9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0" w:name="Normal Indent"/>
    <w:lsdException w:unhideWhenUsed="0"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nhideWhenUsed="0"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0" w:name="Document Map"/>
    <w:lsdException w:uiPriority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30"/>
    <w:qFormat/>
    <w:locked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33"/>
    <w:qFormat/>
    <w:locked/>
    <w:uiPriority w:val="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31"/>
    <w:qFormat/>
    <w:locked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otnote reference"/>
    <w:semiHidden/>
    <w:uiPriority w:val="0"/>
    <w:rPr>
      <w:rFonts w:cs="Times New Roman"/>
      <w:vertAlign w:val="superscript"/>
    </w:rPr>
  </w:style>
  <w:style w:type="character" w:styleId="8">
    <w:name w:val="Emphasis"/>
    <w:qFormat/>
    <w:locked/>
    <w:uiPriority w:val="20"/>
    <w:rPr>
      <w:i/>
      <w:iCs/>
    </w:rPr>
  </w:style>
  <w:style w:type="character" w:styleId="9">
    <w:name w:val="Hyperlink"/>
    <w:unhideWhenUsed/>
    <w:uiPriority w:val="99"/>
    <w:rPr>
      <w:color w:val="0000FF"/>
      <w:u w:val="single"/>
    </w:rPr>
  </w:style>
  <w:style w:type="character" w:styleId="10">
    <w:name w:val="Strong"/>
    <w:qFormat/>
    <w:locked/>
    <w:uiPriority w:val="22"/>
    <w:rPr>
      <w:b/>
      <w:bCs/>
    </w:rPr>
  </w:style>
  <w:style w:type="paragraph" w:styleId="11">
    <w:name w:val="Balloon Text"/>
    <w:basedOn w:val="1"/>
    <w:link w:val="24"/>
    <w:semiHidden/>
    <w:uiPriority w:val="0"/>
    <w:pPr>
      <w:spacing w:after="0" w:line="240" w:lineRule="auto"/>
    </w:pPr>
    <w:rPr>
      <w:rFonts w:ascii="Segoe UI" w:hAnsi="Segoe UI" w:eastAsia="Calibri"/>
      <w:sz w:val="18"/>
      <w:szCs w:val="18"/>
    </w:rPr>
  </w:style>
  <w:style w:type="paragraph" w:styleId="12">
    <w:name w:val="footnote text"/>
    <w:basedOn w:val="1"/>
    <w:link w:val="18"/>
    <w:semiHidden/>
    <w:uiPriority w:val="0"/>
    <w:pPr>
      <w:spacing w:after="0" w:line="240" w:lineRule="auto"/>
    </w:pPr>
    <w:rPr>
      <w:rFonts w:eastAsia="Calibri"/>
      <w:sz w:val="20"/>
      <w:szCs w:val="20"/>
    </w:rPr>
  </w:style>
  <w:style w:type="paragraph" w:styleId="13">
    <w:name w:val="header"/>
    <w:basedOn w:val="1"/>
    <w:link w:val="20"/>
    <w:uiPriority w:val="0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</w:rPr>
  </w:style>
  <w:style w:type="paragraph" w:styleId="14">
    <w:name w:val="Title"/>
    <w:basedOn w:val="1"/>
    <w:next w:val="1"/>
    <w:link w:val="22"/>
    <w:qFormat/>
    <w:uiPriority w:val="0"/>
    <w:pPr>
      <w:pBdr>
        <w:top w:val="single" w:color="8DB3E2" w:sz="48" w:space="0"/>
        <w:bottom w:val="single" w:color="8DB3E2" w:sz="48" w:space="0"/>
      </w:pBdr>
      <w:shd w:val="clear" w:color="auto" w:fill="8DB3E2"/>
      <w:spacing w:after="0" w:line="240" w:lineRule="auto"/>
      <w:jc w:val="center"/>
    </w:pPr>
    <w:rPr>
      <w:rFonts w:ascii="Cambria" w:hAnsi="Cambria" w:eastAsia="Calibri"/>
      <w:i/>
      <w:iCs/>
      <w:color w:val="FFFFFF"/>
      <w:spacing w:val="10"/>
      <w:sz w:val="48"/>
      <w:szCs w:val="48"/>
      <w:lang w:eastAsia="ru-RU"/>
    </w:rPr>
  </w:style>
  <w:style w:type="paragraph" w:styleId="15">
    <w:name w:val="footer"/>
    <w:basedOn w:val="1"/>
    <w:link w:val="21"/>
    <w:uiPriority w:val="0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</w:rPr>
  </w:style>
  <w:style w:type="paragraph" w:styleId="16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17">
    <w:name w:val="Table Grid"/>
    <w:basedOn w:val="6"/>
    <w:uiPriority w:val="0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Текст сноски Знак"/>
    <w:link w:val="12"/>
    <w:semiHidden/>
    <w:locked/>
    <w:uiPriority w:val="0"/>
    <w:rPr>
      <w:rFonts w:cs="Times New Roman"/>
      <w:sz w:val="20"/>
      <w:szCs w:val="20"/>
    </w:rPr>
  </w:style>
  <w:style w:type="paragraph" w:customStyle="1" w:styleId="19">
    <w:name w:val="Абзац списка1"/>
    <w:basedOn w:val="1"/>
    <w:uiPriority w:val="0"/>
    <w:pPr>
      <w:ind w:left="720"/>
      <w:contextualSpacing/>
    </w:pPr>
  </w:style>
  <w:style w:type="character" w:customStyle="1" w:styleId="20">
    <w:name w:val="Верхний колонтитул Знак"/>
    <w:link w:val="13"/>
    <w:locked/>
    <w:uiPriority w:val="0"/>
    <w:rPr>
      <w:rFonts w:cs="Times New Roman"/>
    </w:rPr>
  </w:style>
  <w:style w:type="character" w:customStyle="1" w:styleId="21">
    <w:name w:val="Нижний колонтитул Знак"/>
    <w:link w:val="15"/>
    <w:locked/>
    <w:uiPriority w:val="0"/>
    <w:rPr>
      <w:rFonts w:cs="Times New Roman"/>
    </w:rPr>
  </w:style>
  <w:style w:type="character" w:customStyle="1" w:styleId="22">
    <w:name w:val="Название Знак"/>
    <w:link w:val="14"/>
    <w:locked/>
    <w:uiPriority w:val="0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8DB3E2"/>
      <w:lang w:eastAsia="ru-RU"/>
    </w:rPr>
  </w:style>
  <w:style w:type="character" w:customStyle="1" w:styleId="23">
    <w:name w:val="subtitle_text_input"/>
    <w:uiPriority w:val="0"/>
    <w:rPr>
      <w:rFonts w:cs="Times New Roman"/>
    </w:rPr>
  </w:style>
  <w:style w:type="character" w:customStyle="1" w:styleId="24">
    <w:name w:val="Текст выноски Знак"/>
    <w:link w:val="11"/>
    <w:semiHidden/>
    <w:locked/>
    <w:uiPriority w:val="0"/>
    <w:rPr>
      <w:rFonts w:ascii="Segoe UI" w:hAnsi="Segoe UI" w:cs="Segoe UI"/>
      <w:sz w:val="18"/>
      <w:szCs w:val="18"/>
    </w:rPr>
  </w:style>
  <w:style w:type="paragraph" w:customStyle="1" w:styleId="25">
    <w:name w:val="Без интервала1"/>
    <w:uiPriority w:val="0"/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character" w:customStyle="1" w:styleId="26">
    <w:name w:val="Замещающий текст1"/>
    <w:semiHidden/>
    <w:uiPriority w:val="0"/>
    <w:rPr>
      <w:rFonts w:cs="Times New Roman"/>
      <w:color w:val="808080"/>
    </w:rPr>
  </w:style>
  <w:style w:type="paragraph" w:customStyle="1" w:styleId="27">
    <w:name w:val="ConsPlusNormal"/>
    <w:uiPriority w:val="0"/>
    <w:pPr>
      <w:widowControl w:val="0"/>
      <w:autoSpaceDE w:val="0"/>
      <w:autoSpaceDN w:val="0"/>
    </w:pPr>
    <w:rPr>
      <w:rFonts w:ascii="Calibri" w:hAnsi="Calibri" w:eastAsia="Calibri" w:cs="Calibri"/>
      <w:sz w:val="22"/>
      <w:lang w:val="ru-RU" w:eastAsia="ru-RU" w:bidi="ar-SA"/>
    </w:rPr>
  </w:style>
  <w:style w:type="paragraph" w:customStyle="1" w:styleId="28">
    <w:name w:val="Свободная форма"/>
    <w:uiPriority w:val="0"/>
    <w:rPr>
      <w:rFonts w:ascii="Helvetica" w:hAnsi="Helvetica" w:eastAsia="Times New Roman" w:cs="Times New Roman"/>
      <w:color w:val="000000"/>
      <w:sz w:val="24"/>
      <w:lang w:val="ru-RU" w:eastAsia="ru-RU" w:bidi="ar-SA"/>
    </w:rPr>
  </w:style>
  <w:style w:type="paragraph" w:styleId="29">
    <w:name w:val="List Paragraph"/>
    <w:basedOn w:val="1"/>
    <w:qFormat/>
    <w:uiPriority w:val="34"/>
    <w:pPr>
      <w:ind w:left="708"/>
    </w:pPr>
  </w:style>
  <w:style w:type="character" w:customStyle="1" w:styleId="30">
    <w:name w:val="Заголовок 1 Знак"/>
    <w:link w:val="2"/>
    <w:uiPriority w:val="9"/>
    <w:rPr>
      <w:rFonts w:ascii="Times New Roman" w:hAnsi="Times New Roman" w:eastAsia="Times New Roman"/>
      <w:b/>
      <w:bCs/>
      <w:kern w:val="36"/>
      <w:sz w:val="48"/>
      <w:szCs w:val="48"/>
    </w:rPr>
  </w:style>
  <w:style w:type="character" w:customStyle="1" w:styleId="31">
    <w:name w:val="Заголовок 3 Знак"/>
    <w:link w:val="4"/>
    <w:uiPriority w:val="9"/>
    <w:rPr>
      <w:rFonts w:ascii="Times New Roman" w:hAnsi="Times New Roman" w:eastAsia="Times New Roman"/>
      <w:b/>
      <w:bCs/>
      <w:sz w:val="27"/>
      <w:szCs w:val="27"/>
    </w:rPr>
  </w:style>
  <w:style w:type="paragraph" w:customStyle="1" w:styleId="32">
    <w:name w:val="Заголовок1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33">
    <w:name w:val="Заголовок 2 Знак"/>
    <w:link w:val="3"/>
    <w:uiPriority w:val="0"/>
    <w:rPr>
      <w:rFonts w:ascii="Cambria" w:hAnsi="Cambria" w:eastAsia="Times New Roman" w:cs="Times New Roman"/>
      <w:b/>
      <w:bCs/>
      <w:i/>
      <w:iCs/>
      <w:sz w:val="28"/>
      <w:szCs w:val="28"/>
      <w:lang w:eastAsia="en-US"/>
    </w:rPr>
  </w:style>
  <w:style w:type="paragraph" w:customStyle="1" w:styleId="34">
    <w:name w:val="HTML Top of Form"/>
    <w:basedOn w:val="1"/>
    <w:next w:val="1"/>
    <w:link w:val="35"/>
    <w:unhideWhenUsed/>
    <w:uiPriority w:val="99"/>
    <w:pPr>
      <w:pBdr>
        <w:bottom w:val="single" w:color="auto" w:sz="6" w:space="1"/>
      </w:pBdr>
      <w:spacing w:after="0" w:line="240" w:lineRule="auto"/>
      <w:jc w:val="center"/>
    </w:pPr>
    <w:rPr>
      <w:rFonts w:ascii="Arial" w:hAnsi="Arial"/>
      <w:vanish/>
      <w:sz w:val="16"/>
      <w:szCs w:val="16"/>
    </w:rPr>
  </w:style>
  <w:style w:type="character" w:customStyle="1" w:styleId="35">
    <w:name w:val="z-Начало формы Знак"/>
    <w:link w:val="34"/>
    <w:uiPriority w:val="99"/>
    <w:rPr>
      <w:rFonts w:ascii="Arial" w:hAnsi="Arial" w:eastAsia="Times New Roman" w:cs="Arial"/>
      <w:vanish/>
      <w:sz w:val="16"/>
      <w:szCs w:val="16"/>
    </w:rPr>
  </w:style>
  <w:style w:type="character" w:customStyle="1" w:styleId="36">
    <w:name w:val="form-required2"/>
    <w:uiPriority w:val="0"/>
    <w:rPr>
      <w:color w:val="FF0000"/>
    </w:rPr>
  </w:style>
  <w:style w:type="paragraph" w:customStyle="1" w:styleId="37">
    <w:name w:val="HTML Bottom of Form"/>
    <w:basedOn w:val="1"/>
    <w:next w:val="1"/>
    <w:link w:val="38"/>
    <w:unhideWhenUsed/>
    <w:uiPriority w:val="99"/>
    <w:pPr>
      <w:pBdr>
        <w:top w:val="single" w:color="auto" w:sz="6" w:space="1"/>
      </w:pBdr>
      <w:spacing w:after="0" w:line="240" w:lineRule="auto"/>
      <w:jc w:val="center"/>
    </w:pPr>
    <w:rPr>
      <w:rFonts w:ascii="Arial" w:hAnsi="Arial"/>
      <w:vanish/>
      <w:sz w:val="16"/>
      <w:szCs w:val="16"/>
    </w:rPr>
  </w:style>
  <w:style w:type="character" w:customStyle="1" w:styleId="38">
    <w:name w:val="z-Конец формы Знак"/>
    <w:link w:val="37"/>
    <w:uiPriority w:val="99"/>
    <w:rPr>
      <w:rFonts w:ascii="Arial" w:hAnsi="Arial" w:eastAsia="Times New Roman" w:cs="Arial"/>
      <w:vanish/>
      <w:sz w:val="16"/>
      <w:szCs w:val="16"/>
    </w:rPr>
  </w:style>
  <w:style w:type="paragraph" w:customStyle="1" w:styleId="39">
    <w:name w:val="Абзац списка2"/>
    <w:basedOn w:val="1"/>
    <w:uiPriority w:val="0"/>
    <w:pPr>
      <w:ind w:left="720"/>
      <w:contextualSpacing/>
    </w:pPr>
    <w:rPr>
      <w:rFonts w:eastAsia="Calibri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BA788E-7B2B-4E61-97A9-A1C4BFE8D1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Rosatom</Company>
  <Pages>18</Pages>
  <Words>4207</Words>
  <Characters>23982</Characters>
  <Lines>199</Lines>
  <Paragraphs>56</Paragraphs>
  <TotalTime>4</TotalTime>
  <ScaleCrop>false</ScaleCrop>
  <LinksUpToDate>false</LinksUpToDate>
  <CharactersWithSpaces>28133</CharactersWithSpaces>
  <Application>WPS Office_11.2.0.10382_F1E327BC-269C-435d-A152-05C5408002CA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2020-08-03T10:10:00Z</dcterms:created>
  <dc:creator>Перевертайло Алексей Станиславович</dc:creator>
  <cp:lastModifiedBy>kinka</cp:lastModifiedBy>
  <cp:lastPrinted>2017-11-28T14:34:00Z</cp:lastPrinted>
  <dcterms:modified xsi:type="dcterms:W3CDTF">2021-11-29T11:20:22Z</dcterms:modified>
  <dc:title>ПРИМЕР ОЦЕНОЧНОГО СРЕДСТВА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DA76D40D5C82439BB48991542EC4D6C8</vt:lpwstr>
  </property>
</Properties>
</file>